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1E80E" w14:textId="77777777" w:rsidR="00DF747A" w:rsidRPr="00E06F8B" w:rsidRDefault="00171C5B" w:rsidP="00DF747A">
      <w:pPr>
        <w:rPr>
          <w:b/>
          <w:i/>
          <w:sz w:val="18"/>
          <w:szCs w:val="18"/>
        </w:rPr>
      </w:pPr>
      <w:r>
        <w:rPr>
          <w:noProof/>
        </w:rPr>
        <w:drawing>
          <wp:anchor distT="0" distB="0" distL="114300" distR="114300" simplePos="0" relativeHeight="251661312" behindDoc="1" locked="0" layoutInCell="1" allowOverlap="1" wp14:anchorId="4D2304E9" wp14:editId="538045E5">
            <wp:simplePos x="0" y="0"/>
            <wp:positionH relativeFrom="column">
              <wp:posOffset>2971800</wp:posOffset>
            </wp:positionH>
            <wp:positionV relativeFrom="paragraph">
              <wp:posOffset>-228600</wp:posOffset>
            </wp:positionV>
            <wp:extent cx="1195070" cy="896817"/>
            <wp:effectExtent l="0" t="0" r="0" b="0"/>
            <wp:wrapNone/>
            <wp:docPr id="2" name="Picture 2" descr="ssd:Users:minkee:Dropbox:sei_yayin:SEI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d:Users:minkee:Dropbox:sei_yayin:SEI logo.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5070" cy="896817"/>
                    </a:xfrm>
                    <a:prstGeom prst="rect">
                      <a:avLst/>
                    </a:prstGeom>
                    <a:noFill/>
                    <a:ln>
                      <a:noFill/>
                    </a:ln>
                  </pic:spPr>
                </pic:pic>
              </a:graphicData>
            </a:graphic>
          </wp:anchor>
        </w:drawing>
      </w:r>
      <w:r w:rsidR="00DF747A" w:rsidRPr="00E06F8B">
        <w:rPr>
          <w:b/>
          <w:i/>
          <w:sz w:val="18"/>
          <w:szCs w:val="18"/>
        </w:rPr>
        <w:t>Science Education International</w:t>
      </w:r>
    </w:p>
    <w:p w14:paraId="48904F88" w14:textId="77777777" w:rsidR="00EF20BB" w:rsidRPr="00E06F8B" w:rsidRDefault="00A7135B" w:rsidP="00A7135B">
      <w:pPr>
        <w:rPr>
          <w:sz w:val="18"/>
          <w:szCs w:val="18"/>
          <w:lang w:eastAsia="tr-TR"/>
        </w:rPr>
      </w:pPr>
      <w:r w:rsidRPr="00E06F8B">
        <w:rPr>
          <w:sz w:val="18"/>
          <w:szCs w:val="18"/>
          <w:lang w:eastAsia="tr-TR"/>
        </w:rPr>
        <w:t>Vol. 2</w:t>
      </w:r>
      <w:r w:rsidR="00152A97" w:rsidRPr="00E06F8B">
        <w:rPr>
          <w:sz w:val="18"/>
          <w:szCs w:val="18"/>
          <w:lang w:eastAsia="tr-TR"/>
        </w:rPr>
        <w:t>4</w:t>
      </w:r>
      <w:r w:rsidRPr="00E06F8B">
        <w:rPr>
          <w:sz w:val="18"/>
          <w:szCs w:val="18"/>
          <w:lang w:eastAsia="tr-TR"/>
        </w:rPr>
        <w:t xml:space="preserve">, </w:t>
      </w:r>
      <w:r w:rsidR="00A7273A">
        <w:rPr>
          <w:sz w:val="18"/>
          <w:szCs w:val="18"/>
          <w:lang w:eastAsia="tr-TR"/>
        </w:rPr>
        <w:t>Issue</w:t>
      </w:r>
      <w:r w:rsidR="00152A97" w:rsidRPr="00E06F8B">
        <w:rPr>
          <w:sz w:val="18"/>
          <w:szCs w:val="18"/>
          <w:lang w:eastAsia="tr-TR"/>
        </w:rPr>
        <w:t xml:space="preserve"> 1</w:t>
      </w:r>
      <w:r w:rsidRPr="00E06F8B">
        <w:rPr>
          <w:sz w:val="18"/>
          <w:szCs w:val="18"/>
          <w:lang w:eastAsia="tr-TR"/>
        </w:rPr>
        <w:t>, 201</w:t>
      </w:r>
      <w:r w:rsidR="00152A97" w:rsidRPr="00E06F8B">
        <w:rPr>
          <w:sz w:val="18"/>
          <w:szCs w:val="18"/>
          <w:lang w:eastAsia="tr-TR"/>
        </w:rPr>
        <w:t>3</w:t>
      </w:r>
      <w:r w:rsidRPr="00E06F8B">
        <w:rPr>
          <w:sz w:val="18"/>
          <w:szCs w:val="18"/>
          <w:lang w:eastAsia="tr-TR"/>
        </w:rPr>
        <w:t xml:space="preserve">, </w:t>
      </w:r>
      <w:r w:rsidR="00DE6680">
        <w:fldChar w:fldCharType="begin"/>
      </w:r>
      <w:r w:rsidR="00DE6680">
        <w:instrText xml:space="preserve"> PAGE  \* MERGEFORMAT </w:instrText>
      </w:r>
      <w:r w:rsidR="00DE6680">
        <w:fldChar w:fldCharType="separate"/>
      </w:r>
      <w:r w:rsidR="001B190B" w:rsidRPr="001B190B">
        <w:rPr>
          <w:noProof/>
          <w:sz w:val="18"/>
          <w:szCs w:val="18"/>
          <w:lang w:eastAsia="tr-TR"/>
        </w:rPr>
        <w:t>63</w:t>
      </w:r>
      <w:r w:rsidR="00DE6680">
        <w:rPr>
          <w:noProof/>
          <w:sz w:val="18"/>
          <w:szCs w:val="18"/>
          <w:lang w:eastAsia="tr-TR"/>
        </w:rPr>
        <w:fldChar w:fldCharType="end"/>
      </w:r>
      <w:r w:rsidRPr="00E06F8B">
        <w:rPr>
          <w:sz w:val="18"/>
          <w:szCs w:val="18"/>
          <w:lang w:eastAsia="tr-TR"/>
        </w:rPr>
        <w:t>-</w:t>
      </w:r>
      <w:r w:rsidR="00E436B0" w:rsidRPr="00E06F8B">
        <w:rPr>
          <w:sz w:val="18"/>
          <w:szCs w:val="18"/>
          <w:lang w:eastAsia="tr-TR"/>
        </w:rPr>
        <w:fldChar w:fldCharType="begin"/>
      </w:r>
      <w:r w:rsidR="00986CF0" w:rsidRPr="00E06F8B">
        <w:rPr>
          <w:sz w:val="18"/>
          <w:szCs w:val="18"/>
          <w:lang w:eastAsia="tr-TR"/>
        </w:rPr>
        <w:instrText xml:space="preserve"> </w:instrText>
      </w:r>
      <w:r w:rsidR="00F26D3F" w:rsidRPr="00E06F8B">
        <w:rPr>
          <w:sz w:val="18"/>
          <w:szCs w:val="18"/>
          <w:lang w:eastAsia="tr-TR"/>
        </w:rPr>
        <w:instrText xml:space="preserve">= </w:instrText>
      </w:r>
      <w:r w:rsidR="001B190B">
        <w:fldChar w:fldCharType="begin"/>
      </w:r>
      <w:r w:rsidR="001B190B">
        <w:instrText xml:space="preserve"> NUMPAGES  \* MERGEFORMAT </w:instrText>
      </w:r>
      <w:r w:rsidR="001B190B">
        <w:fldChar w:fldCharType="separate"/>
      </w:r>
      <w:r w:rsidR="001B190B" w:rsidRPr="001B190B">
        <w:rPr>
          <w:noProof/>
          <w:sz w:val="18"/>
          <w:szCs w:val="18"/>
          <w:lang w:eastAsia="tr-TR"/>
        </w:rPr>
        <w:instrText>15</w:instrText>
      </w:r>
      <w:r w:rsidR="001B190B">
        <w:rPr>
          <w:noProof/>
          <w:sz w:val="18"/>
          <w:szCs w:val="18"/>
          <w:lang w:eastAsia="tr-TR"/>
        </w:rPr>
        <w:fldChar w:fldCharType="end"/>
      </w:r>
      <w:r w:rsidR="00F26D3F" w:rsidRPr="00E06F8B">
        <w:rPr>
          <w:sz w:val="18"/>
          <w:szCs w:val="18"/>
          <w:lang w:eastAsia="tr-TR"/>
        </w:rPr>
        <w:instrText xml:space="preserve"> </w:instrText>
      </w:r>
      <w:r w:rsidR="0017631C" w:rsidRPr="00E06F8B">
        <w:rPr>
          <w:sz w:val="18"/>
          <w:szCs w:val="18"/>
          <w:lang w:eastAsia="tr-TR"/>
        </w:rPr>
        <w:instrText xml:space="preserve">+ </w:instrText>
      </w:r>
      <w:r w:rsidR="00DE6680">
        <w:fldChar w:fldCharType="begin"/>
      </w:r>
      <w:r w:rsidR="00DE6680">
        <w:instrText xml:space="preserve"> PAGE  \* MERGEFORMAT </w:instrText>
      </w:r>
      <w:r w:rsidR="00DE6680">
        <w:fldChar w:fldCharType="separate"/>
      </w:r>
      <w:r w:rsidR="001B190B" w:rsidRPr="001B190B">
        <w:rPr>
          <w:noProof/>
          <w:sz w:val="18"/>
          <w:szCs w:val="18"/>
          <w:lang w:eastAsia="tr-TR"/>
        </w:rPr>
        <w:instrText>63</w:instrText>
      </w:r>
      <w:r w:rsidR="00DE6680">
        <w:rPr>
          <w:noProof/>
          <w:sz w:val="18"/>
          <w:szCs w:val="18"/>
          <w:lang w:eastAsia="tr-TR"/>
        </w:rPr>
        <w:fldChar w:fldCharType="end"/>
      </w:r>
      <w:r w:rsidR="009734A5" w:rsidRPr="00E06F8B">
        <w:rPr>
          <w:sz w:val="18"/>
          <w:szCs w:val="18"/>
          <w:lang w:eastAsia="tr-TR"/>
        </w:rPr>
        <w:instrText xml:space="preserve"> - 1</w:instrText>
      </w:r>
      <w:r w:rsidR="00986CF0" w:rsidRPr="00E06F8B">
        <w:rPr>
          <w:sz w:val="18"/>
          <w:szCs w:val="18"/>
          <w:lang w:eastAsia="tr-TR"/>
        </w:rPr>
        <w:instrText xml:space="preserve"> </w:instrText>
      </w:r>
      <w:r w:rsidR="00E436B0" w:rsidRPr="00E06F8B">
        <w:rPr>
          <w:sz w:val="18"/>
          <w:szCs w:val="18"/>
          <w:lang w:eastAsia="tr-TR"/>
        </w:rPr>
        <w:fldChar w:fldCharType="separate"/>
      </w:r>
      <w:r w:rsidR="001B190B">
        <w:rPr>
          <w:noProof/>
          <w:sz w:val="18"/>
          <w:szCs w:val="18"/>
          <w:lang w:eastAsia="tr-TR"/>
        </w:rPr>
        <w:t>77</w:t>
      </w:r>
      <w:r w:rsidR="00E436B0" w:rsidRPr="00E06F8B">
        <w:rPr>
          <w:sz w:val="18"/>
          <w:szCs w:val="18"/>
          <w:lang w:eastAsia="tr-TR"/>
        </w:rPr>
        <w:fldChar w:fldCharType="end"/>
      </w:r>
    </w:p>
    <w:p w14:paraId="6347E45A" w14:textId="2CFD1B86" w:rsidR="001B6BA8" w:rsidRPr="00E06F8B" w:rsidRDefault="00EB49C4" w:rsidP="00AD2920">
      <w:pPr>
        <w:pStyle w:val="SEI-TITLE"/>
        <w:spacing w:before="800" w:after="200"/>
      </w:pPr>
      <w:r w:rsidRPr="00E06F8B">
        <w:t xml:space="preserve">Science coursework and pedagogical beliefs of science teachers: </w:t>
      </w:r>
      <w:r w:rsidR="00765129">
        <w:t>T</w:t>
      </w:r>
      <w:r w:rsidRPr="00E06F8B">
        <w:t>he case of science teachers in the Philippines</w:t>
      </w:r>
    </w:p>
    <w:p w14:paraId="581049A1" w14:textId="77777777" w:rsidR="001B6976" w:rsidRPr="00E06F8B" w:rsidRDefault="00415DFF" w:rsidP="001A2767">
      <w:pPr>
        <w:jc w:val="center"/>
        <w:rPr>
          <w:lang w:val="en-GB"/>
        </w:rPr>
      </w:pPr>
      <w:r w:rsidRPr="00E06F8B">
        <w:rPr>
          <w:lang w:val="en-GB"/>
        </w:rPr>
        <w:t xml:space="preserve">Eva B. </w:t>
      </w:r>
      <w:proofErr w:type="spellStart"/>
      <w:r w:rsidRPr="00E06F8B">
        <w:rPr>
          <w:lang w:val="en-GB"/>
        </w:rPr>
        <w:t>Macugay</w:t>
      </w:r>
      <w:proofErr w:type="spellEnd"/>
      <w:r w:rsidR="00594248" w:rsidRPr="00E06F8B">
        <w:rPr>
          <w:rStyle w:val="FootnoteReference"/>
          <w:lang w:val="en-GB"/>
        </w:rPr>
        <w:footnoteReference w:id="1"/>
      </w:r>
      <w:r w:rsidRPr="00E06F8B">
        <w:rPr>
          <w:lang w:val="en-GB"/>
        </w:rPr>
        <w:t>, Allan B. I. Bernardo</w:t>
      </w:r>
      <w:r w:rsidRPr="00E06F8B">
        <w:rPr>
          <w:rStyle w:val="FootnoteReference"/>
          <w:lang w:val="en-GB"/>
        </w:rPr>
        <w:footnoteReference w:id="2"/>
      </w:r>
      <w:r w:rsidR="005664CF" w:rsidRPr="00E06F8B">
        <w:rPr>
          <w:rStyle w:val="FootnoteReference"/>
          <w:lang w:val="en-GB"/>
        </w:rPr>
        <w:footnoteReference w:id="3"/>
      </w:r>
    </w:p>
    <w:p w14:paraId="03E585C6" w14:textId="77777777" w:rsidR="001B6BA8" w:rsidRPr="00E06F8B" w:rsidRDefault="00266582" w:rsidP="00433228">
      <w:pPr>
        <w:pStyle w:val="SEI-ABSTRACTKEYWORDS"/>
      </w:pPr>
      <w:r w:rsidRPr="00E06F8B">
        <w:t>ABSTRACT:</w:t>
      </w:r>
      <w:r w:rsidR="00F05873" w:rsidRPr="00E06F8B">
        <w:t xml:space="preserve"> </w:t>
      </w:r>
      <w:r w:rsidR="001B6BA8" w:rsidRPr="00E06F8B">
        <w:t>Science coursework is an important element of the pre-service ed</w:t>
      </w:r>
      <w:r w:rsidR="001B6BA8" w:rsidRPr="00E06F8B">
        <w:t>u</w:t>
      </w:r>
      <w:r w:rsidR="001B6BA8" w:rsidRPr="00E06F8B">
        <w:t>cation of science teachers.</w:t>
      </w:r>
      <w:r w:rsidR="00DE3647">
        <w:t xml:space="preserve"> </w:t>
      </w:r>
      <w:r w:rsidR="001B6BA8" w:rsidRPr="00E06F8B">
        <w:t>I</w:t>
      </w:r>
      <w:bookmarkStart w:id="0" w:name="_GoBack"/>
      <w:bookmarkEnd w:id="0"/>
      <w:r w:rsidR="001B6BA8" w:rsidRPr="00E06F8B">
        <w:t xml:space="preserve">n this study we test the hypothesis that more science coursework influences pedagogical beliefs of science teachers by studying the pedagogical beliefs of </w:t>
      </w:r>
      <w:r w:rsidR="00AA3B35" w:rsidRPr="00E06F8B">
        <w:t xml:space="preserve">305 Filipino science teachers. </w:t>
      </w:r>
      <w:r w:rsidR="001B6BA8" w:rsidRPr="00E06F8B">
        <w:t>We compared pedagogical beliefs of primary school (less science coursework) versus secondary school (more coursework) science teachers, and also science majors versus non-science majors.</w:t>
      </w:r>
      <w:r w:rsidR="00DE3647">
        <w:t xml:space="preserve"> </w:t>
      </w:r>
      <w:r w:rsidR="001B6BA8" w:rsidRPr="00E06F8B">
        <w:t>Results of the comparisons indicated that more science coursework is related to stronger endorsement of the belief that teaching involves providing support for learning, and to weaker endorsement of the belief that learning is li</w:t>
      </w:r>
      <w:r w:rsidR="001B6BA8" w:rsidRPr="00E06F8B">
        <w:t>m</w:t>
      </w:r>
      <w:r w:rsidR="001B6BA8" w:rsidRPr="00E06F8B">
        <w:t>ited by ability and by cultural beliefs.</w:t>
      </w:r>
      <w:r w:rsidR="00DE3647">
        <w:t xml:space="preserve"> </w:t>
      </w:r>
      <w:r w:rsidR="001B6BA8" w:rsidRPr="00E06F8B">
        <w:t>The results are discussed in terms of strong science content knowledge providing the anchors for reflecting on their teaching.</w:t>
      </w:r>
    </w:p>
    <w:p w14:paraId="1749C011" w14:textId="77777777" w:rsidR="00F05873" w:rsidRPr="00E06F8B" w:rsidRDefault="00266582" w:rsidP="00433228">
      <w:pPr>
        <w:pStyle w:val="SEI-ABSTRACTKEYWORDS"/>
      </w:pPr>
      <w:r w:rsidRPr="00E06F8B">
        <w:t>KEY WORDS:</w:t>
      </w:r>
      <w:r w:rsidR="001B6BA8" w:rsidRPr="00E06F8B">
        <w:t xml:space="preserve"> science coursework, pedagogical beliefs, content knowledge, science teacher education, Philippines</w:t>
      </w:r>
    </w:p>
    <w:p w14:paraId="035A1C6E" w14:textId="77777777" w:rsidR="001B6BA8" w:rsidRPr="00E06F8B" w:rsidRDefault="00640304" w:rsidP="00433228">
      <w:pPr>
        <w:pStyle w:val="Heading1"/>
      </w:pPr>
      <w:r w:rsidRPr="00E06F8B">
        <w:t>Introduction</w:t>
      </w:r>
    </w:p>
    <w:p w14:paraId="330149AE" w14:textId="77777777" w:rsidR="001B6BA8" w:rsidRPr="00E06F8B" w:rsidRDefault="001B6BA8" w:rsidP="004A51F2">
      <w:r w:rsidRPr="00E06F8B">
        <w:t>As educators, researchers, and policy makers in different parts of the world continue to debate the standards and qualities of good science teaching (</w:t>
      </w:r>
      <w:proofErr w:type="spellStart"/>
      <w:r w:rsidRPr="00E06F8B">
        <w:t>Bolyard</w:t>
      </w:r>
      <w:proofErr w:type="spellEnd"/>
      <w:r w:rsidRPr="00E06F8B">
        <w:t xml:space="preserve"> &amp; Moyer-</w:t>
      </w:r>
      <w:proofErr w:type="spellStart"/>
      <w:r w:rsidRPr="00E06F8B">
        <w:t>Packenham</w:t>
      </w:r>
      <w:proofErr w:type="spellEnd"/>
      <w:r w:rsidRPr="00E06F8B">
        <w:t>, 2008) and of pre-service educ</w:t>
      </w:r>
      <w:r w:rsidRPr="00E06F8B">
        <w:t>a</w:t>
      </w:r>
      <w:r w:rsidRPr="00E06F8B">
        <w:t xml:space="preserve">tion of science teachers (Darling-Hammond &amp; </w:t>
      </w:r>
      <w:proofErr w:type="spellStart"/>
      <w:r w:rsidRPr="00E06F8B">
        <w:t>Youngs</w:t>
      </w:r>
      <w:proofErr w:type="spellEnd"/>
      <w:r w:rsidRPr="00E06F8B">
        <w:t xml:space="preserve">, 2002; </w:t>
      </w:r>
      <w:proofErr w:type="spellStart"/>
      <w:r w:rsidRPr="00E06F8B">
        <w:t>Windschitl</w:t>
      </w:r>
      <w:proofErr w:type="spellEnd"/>
      <w:r w:rsidRPr="00E06F8B">
        <w:t>, 2009), there are some points where most stakeholders agree.</w:t>
      </w:r>
      <w:r w:rsidR="00DE3647">
        <w:t xml:space="preserve"> </w:t>
      </w:r>
      <w:r w:rsidRPr="00E06F8B">
        <w:t>One of these points of agreement is on the importance of teachers’ coursework in sc</w:t>
      </w:r>
      <w:r w:rsidRPr="00E06F8B">
        <w:t>i</w:t>
      </w:r>
      <w:r w:rsidRPr="00E06F8B">
        <w:t>ence in predicting science achievement of their students (Rice, 2003).</w:t>
      </w:r>
      <w:r w:rsidR="00DE3647">
        <w:t xml:space="preserve"> </w:t>
      </w:r>
      <w:r w:rsidRPr="00E06F8B">
        <w:t>Yet in different parts of the world, there are still wide variations in the level of science-related course work of science teachers.</w:t>
      </w:r>
      <w:r w:rsidR="00DE3647">
        <w:t xml:space="preserve"> </w:t>
      </w:r>
      <w:r w:rsidRPr="00E06F8B">
        <w:t>The International Report of the TIMSS 2007 (Martin, Mullis, &amp; Foy, 2008) indicated that in Arm</w:t>
      </w:r>
      <w:r w:rsidRPr="00E06F8B">
        <w:t>e</w:t>
      </w:r>
      <w:r w:rsidRPr="00E06F8B">
        <w:t>nia, for example, 90% of primary school students had science teachers who either majored in science (90%) in their postsecondary education.</w:t>
      </w:r>
      <w:r w:rsidR="00DE3647">
        <w:t xml:space="preserve"> </w:t>
      </w:r>
      <w:r w:rsidRPr="00E06F8B">
        <w:t>In contrast, 95% of primary school students in Austria had science teachers who majored in education without a specialization in science.</w:t>
      </w:r>
      <w:r w:rsidR="00DE3647">
        <w:t xml:space="preserve"> </w:t>
      </w:r>
      <w:r w:rsidRPr="00E06F8B">
        <w:t>The vari</w:t>
      </w:r>
      <w:r w:rsidRPr="00E06F8B">
        <w:t>a</w:t>
      </w:r>
      <w:r w:rsidRPr="00E06F8B">
        <w:t>tion is also found in Asia.</w:t>
      </w:r>
      <w:r w:rsidR="00DE3647">
        <w:t xml:space="preserve"> </w:t>
      </w:r>
      <w:r w:rsidRPr="00E06F8B">
        <w:t>In Chinese Taipei, 56% of students have sc</w:t>
      </w:r>
      <w:r w:rsidRPr="00E06F8B">
        <w:t>i</w:t>
      </w:r>
      <w:r w:rsidRPr="00E06F8B">
        <w:lastRenderedPageBreak/>
        <w:t>ence teachers who either majored in science (17%) or majored in educ</w:t>
      </w:r>
      <w:r w:rsidRPr="00E06F8B">
        <w:t>a</w:t>
      </w:r>
      <w:r w:rsidRPr="00E06F8B">
        <w:t>tion with a specialization in science (39%), but in Japan, 55% of students have science teachers who majored in education without a specialization in science.</w:t>
      </w:r>
      <w:r w:rsidR="00DE3647">
        <w:t xml:space="preserve"> </w:t>
      </w:r>
    </w:p>
    <w:p w14:paraId="53746802" w14:textId="77777777" w:rsidR="00EB49C4" w:rsidRPr="00E06F8B" w:rsidRDefault="001B6BA8" w:rsidP="004A51F2">
      <w:pPr>
        <w:pStyle w:val="BodyTextFirstIndent"/>
      </w:pPr>
      <w:r w:rsidRPr="00E06F8B">
        <w:t xml:space="preserve">No data are available for the Philippines in this 2007 report, but the 2003 report showed that only 13% of students have teachers who majored in education with a specialization in science, and another 4% had teachers who majored in science (Martin, Mullis, Gonzalez, &amp; </w:t>
      </w:r>
      <w:proofErr w:type="spellStart"/>
      <w:r w:rsidRPr="00E06F8B">
        <w:rPr>
          <w:rFonts w:cs="Verdana"/>
        </w:rPr>
        <w:t>Chrostowski</w:t>
      </w:r>
      <w:proofErr w:type="spellEnd"/>
      <w:r w:rsidRPr="00E06F8B">
        <w:t>, 2004) in their postsecondary education; 54% had science teachers who majored in education without a specialization in science, and 18% had teachers who majored in education with a specialization in mathematics.</w:t>
      </w:r>
      <w:r w:rsidR="00DE3647">
        <w:t xml:space="preserve"> </w:t>
      </w:r>
      <w:r w:rsidRPr="00E06F8B">
        <w:t>The Phi</w:t>
      </w:r>
      <w:r w:rsidRPr="00E06F8B">
        <w:t>l</w:t>
      </w:r>
      <w:r w:rsidRPr="00E06F8B">
        <w:t>ippine national government had recognized this problem long before that survey, and in response, the government with partners in the private sector initiated inservice teacher education programs to improve science content knowledge of science teachers who were not science majors (Bernardo, 1999).</w:t>
      </w:r>
      <w:r w:rsidR="00BF3A57">
        <w:t xml:space="preserve"> </w:t>
      </w:r>
      <w:r w:rsidRPr="00E06F8B">
        <w:t>Evaluation of the preservice teacher education curriculum for sc</w:t>
      </w:r>
      <w:r w:rsidRPr="00E06F8B">
        <w:t>i</w:t>
      </w:r>
      <w:r w:rsidRPr="00E06F8B">
        <w:t>ence also indicated that even those who major in science do not have su</w:t>
      </w:r>
      <w:r w:rsidRPr="00E06F8B">
        <w:t>f</w:t>
      </w:r>
      <w:r w:rsidRPr="00E06F8B">
        <w:t>ficient number of science content courses in their required coursework (</w:t>
      </w:r>
      <w:proofErr w:type="spellStart"/>
      <w:r w:rsidRPr="00E06F8B">
        <w:t>Golla</w:t>
      </w:r>
      <w:proofErr w:type="spellEnd"/>
      <w:r w:rsidRPr="00E06F8B">
        <w:t xml:space="preserve"> &amp; De Guzman, 1998).</w:t>
      </w:r>
      <w:r w:rsidR="00BF3A57">
        <w:t xml:space="preserve"> </w:t>
      </w:r>
      <w:r w:rsidRPr="00E06F8B">
        <w:t>So the problems of preservice science teacher education in the Philippines seem to relate to at least two major concerns: (a) very few preservice teachers major in science, and thus there are not enough teachers with a science major to teach science in all the schools, and (b) even those preservice teacher who major in science do not have enough science content coursework to prepare them to effectiv</w:t>
      </w:r>
      <w:r w:rsidRPr="00E06F8B">
        <w:t>e</w:t>
      </w:r>
      <w:r w:rsidRPr="00E06F8B">
        <w:t>ly teach science to primary and secondary students in Philippine schools (</w:t>
      </w:r>
      <w:proofErr w:type="spellStart"/>
      <w:r w:rsidRPr="00E06F8B">
        <w:t>Golla</w:t>
      </w:r>
      <w:proofErr w:type="spellEnd"/>
      <w:r w:rsidRPr="00E06F8B">
        <w:t xml:space="preserve"> &amp; De Guzman, 1998; </w:t>
      </w:r>
      <w:proofErr w:type="spellStart"/>
      <w:r w:rsidRPr="00E06F8B">
        <w:t>Ogena</w:t>
      </w:r>
      <w:proofErr w:type="spellEnd"/>
      <w:r w:rsidRPr="00E06F8B">
        <w:t>, 2005).</w:t>
      </w:r>
    </w:p>
    <w:p w14:paraId="33C6FFBA" w14:textId="77777777" w:rsidR="001B6BA8" w:rsidRPr="00E06F8B" w:rsidRDefault="001B6BA8" w:rsidP="004A51F2">
      <w:pPr>
        <w:pStyle w:val="BodyTextFirstIndent"/>
      </w:pPr>
      <w:r w:rsidRPr="00E06F8B">
        <w:t>In response to the latter concern, the government also later increased the minimum number of college courses in science for all preservice teachers, and nearly doubled the required college science course for pr</w:t>
      </w:r>
      <w:r w:rsidRPr="00E06F8B">
        <w:t>e</w:t>
      </w:r>
      <w:r w:rsidRPr="00E06F8B">
        <w:t>service teachers majoring in science (Bernardo, 2007).</w:t>
      </w:r>
      <w:r w:rsidR="00BF3A57">
        <w:t xml:space="preserve"> </w:t>
      </w:r>
      <w:r w:rsidRPr="00E06F8B">
        <w:t>But most of the teachers who were in the teaching service during the time of the TIMMS 2003, and the overwhelming majority of science teachers in the Phili</w:t>
      </w:r>
      <w:r w:rsidRPr="00E06F8B">
        <w:t>p</w:t>
      </w:r>
      <w:r w:rsidRPr="00E06F8B">
        <w:t>pines today, were prepared following the old national standards that r</w:t>
      </w:r>
      <w:r w:rsidRPr="00E06F8B">
        <w:t>e</w:t>
      </w:r>
      <w:r w:rsidRPr="00E06F8B">
        <w:t>quired only a minimum of three college courses in science for non-science majors, and 10 to 12 college courses in science for the science majors (</w:t>
      </w:r>
      <w:proofErr w:type="spellStart"/>
      <w:r w:rsidRPr="00E06F8B">
        <w:t>Golla</w:t>
      </w:r>
      <w:proofErr w:type="spellEnd"/>
      <w:r w:rsidRPr="00E06F8B">
        <w:t xml:space="preserve"> &amp; De Guzman, 1998). </w:t>
      </w:r>
    </w:p>
    <w:p w14:paraId="744D44BB" w14:textId="77777777" w:rsidR="007D04A1" w:rsidRPr="00E06F8B" w:rsidRDefault="007D04A1" w:rsidP="004A51F2">
      <w:pPr>
        <w:pStyle w:val="BodyTextFirstIndent"/>
      </w:pPr>
      <w:r w:rsidRPr="00E06F8B">
        <w:t>In the Philippines, most proponents of increasing the science course work argue on the basis of the assumption that one cannot teach what one does not understand (</w:t>
      </w:r>
      <w:proofErr w:type="spellStart"/>
      <w:r w:rsidRPr="00E06F8B">
        <w:t>Golla</w:t>
      </w:r>
      <w:proofErr w:type="spellEnd"/>
      <w:r w:rsidRPr="00E06F8B">
        <w:t xml:space="preserve"> &amp; De Guzman, 1998; </w:t>
      </w:r>
      <w:proofErr w:type="spellStart"/>
      <w:r w:rsidRPr="00E06F8B">
        <w:t>Ogena</w:t>
      </w:r>
      <w:proofErr w:type="spellEnd"/>
      <w:r w:rsidRPr="00E06F8B">
        <w:t>, 2005).</w:t>
      </w:r>
      <w:r w:rsidR="00BF3A57">
        <w:t xml:space="preserve"> </w:t>
      </w:r>
      <w:r w:rsidRPr="00E06F8B">
        <w:t>In this study, we propose that more intensive science coursework for science teachers has added benefits, which is that the science teachers develop pedagogical beliefs related to teaching and learning practices known to be associated with better student learning.</w:t>
      </w:r>
    </w:p>
    <w:p w14:paraId="5352A2AF" w14:textId="77777777" w:rsidR="007D04A1" w:rsidRPr="00E06F8B" w:rsidRDefault="007D04A1" w:rsidP="004A51F2">
      <w:pPr>
        <w:pStyle w:val="BodyTextFirstIndent"/>
      </w:pPr>
      <w:r w:rsidRPr="00E06F8B">
        <w:lastRenderedPageBreak/>
        <w:t>Why focus on science teachers’ pedagogical beliefs?</w:t>
      </w:r>
      <w:r w:rsidR="00DE3647">
        <w:t xml:space="preserve"> </w:t>
      </w:r>
      <w:r w:rsidRPr="00E06F8B">
        <w:t>Various defin</w:t>
      </w:r>
      <w:r w:rsidRPr="00E06F8B">
        <w:t>i</w:t>
      </w:r>
      <w:r w:rsidRPr="00E06F8B">
        <w:t>tions have been provided for teachers’ belief regarding their students, the academic material to be taught, the learning and teaching processes, among other curriculum related aspects of their teaching (</w:t>
      </w:r>
      <w:proofErr w:type="spellStart"/>
      <w:r w:rsidRPr="00E06F8B">
        <w:t>Calderhead</w:t>
      </w:r>
      <w:proofErr w:type="spellEnd"/>
      <w:r w:rsidRPr="00E06F8B">
        <w:t xml:space="preserve">, 1995; </w:t>
      </w:r>
      <w:proofErr w:type="spellStart"/>
      <w:r w:rsidRPr="00E06F8B">
        <w:t>Kagan</w:t>
      </w:r>
      <w:proofErr w:type="spellEnd"/>
      <w:r w:rsidRPr="00E06F8B">
        <w:t>, 1992), and research has shown that these pedagogical b</w:t>
      </w:r>
      <w:r w:rsidRPr="00E06F8B">
        <w:t>e</w:t>
      </w:r>
      <w:r w:rsidRPr="00E06F8B">
        <w:t>liefs guide how teachers plan for their classroom activities and shape the teachers’ cognitions and behaviors while in the classroom (</w:t>
      </w:r>
      <w:proofErr w:type="spellStart"/>
      <w:r w:rsidRPr="00E06F8B">
        <w:t>Calderhead</w:t>
      </w:r>
      <w:proofErr w:type="spellEnd"/>
      <w:r w:rsidRPr="00E06F8B">
        <w:t xml:space="preserve">, 1995; </w:t>
      </w:r>
      <w:proofErr w:type="spellStart"/>
      <w:r w:rsidRPr="00E06F8B">
        <w:t>Pajares</w:t>
      </w:r>
      <w:proofErr w:type="spellEnd"/>
      <w:r w:rsidRPr="00E06F8B">
        <w:t>, 1992).</w:t>
      </w:r>
      <w:r w:rsidR="00DE3647">
        <w:t xml:space="preserve"> </w:t>
      </w:r>
      <w:r w:rsidRPr="00E06F8B">
        <w:t>But teacher beliefs are often unconscious, stable and resistant to change (</w:t>
      </w:r>
      <w:proofErr w:type="spellStart"/>
      <w:r w:rsidRPr="00E06F8B">
        <w:t>Kagan</w:t>
      </w:r>
      <w:proofErr w:type="spellEnd"/>
      <w:r w:rsidRPr="00E06F8B">
        <w:t xml:space="preserve">, 1992; </w:t>
      </w:r>
      <w:proofErr w:type="spellStart"/>
      <w:r w:rsidRPr="00E06F8B">
        <w:t>Pajares</w:t>
      </w:r>
      <w:proofErr w:type="spellEnd"/>
      <w:r w:rsidRPr="00E06F8B">
        <w:t>, 1992; Wilson, Miller, &amp; Yerkes, 1993).</w:t>
      </w:r>
      <w:r w:rsidR="00DE3647">
        <w:t xml:space="preserve"> </w:t>
      </w:r>
      <w:r w:rsidRPr="00E06F8B">
        <w:t>It is not surprising therefore, that many advocates of teac</w:t>
      </w:r>
      <w:r w:rsidRPr="00E06F8B">
        <w:t>h</w:t>
      </w:r>
      <w:r w:rsidRPr="00E06F8B">
        <w:t xml:space="preserve">er development have emphasized the need to focus on teacher beliefs in the processes of educational reforms (Appleton &amp; </w:t>
      </w:r>
      <w:proofErr w:type="spellStart"/>
      <w:r w:rsidRPr="00E06F8B">
        <w:t>Asoko</w:t>
      </w:r>
      <w:proofErr w:type="spellEnd"/>
      <w:r w:rsidRPr="00E06F8B">
        <w:t xml:space="preserve">, 1996; </w:t>
      </w:r>
      <w:proofErr w:type="spellStart"/>
      <w:r w:rsidRPr="00E06F8B">
        <w:t>Ertmer</w:t>
      </w:r>
      <w:proofErr w:type="spellEnd"/>
      <w:r w:rsidRPr="00E06F8B">
        <w:t xml:space="preserve">, 2005; </w:t>
      </w:r>
      <w:proofErr w:type="spellStart"/>
      <w:r w:rsidRPr="00E06F8B">
        <w:t>Woolfolk</w:t>
      </w:r>
      <w:proofErr w:type="spellEnd"/>
      <w:r w:rsidRPr="00E06F8B">
        <w:t xml:space="preserve">-Hoy, Davis, &amp; </w:t>
      </w:r>
      <w:proofErr w:type="spellStart"/>
      <w:r w:rsidRPr="00E06F8B">
        <w:t>Pape</w:t>
      </w:r>
      <w:proofErr w:type="spellEnd"/>
      <w:r w:rsidRPr="00E06F8B">
        <w:t>, 2006).</w:t>
      </w:r>
      <w:r w:rsidR="00DE3647">
        <w:t xml:space="preserve"> </w:t>
      </w:r>
      <w:r w:rsidRPr="00E06F8B">
        <w:t>This push has certainly a</w:t>
      </w:r>
      <w:r w:rsidRPr="00E06F8B">
        <w:t>p</w:t>
      </w:r>
      <w:r w:rsidRPr="00E06F8B">
        <w:t>plied to the area of science education reform (Mansour, 2009; Richie, T</w:t>
      </w:r>
      <w:r w:rsidRPr="00E06F8B">
        <w:t>o</w:t>
      </w:r>
      <w:r w:rsidRPr="00E06F8B">
        <w:t xml:space="preserve">bin, &amp; Hook, 1997). </w:t>
      </w:r>
    </w:p>
    <w:p w14:paraId="2437EB04" w14:textId="77777777" w:rsidR="007D04A1" w:rsidRPr="00E06F8B" w:rsidRDefault="007D04A1" w:rsidP="004A51F2">
      <w:pPr>
        <w:pStyle w:val="BodyTextFirstIndent"/>
      </w:pPr>
      <w:r w:rsidRPr="00E06F8B">
        <w:t>Education researchers have also focused on more intensive studies on the nature and structure of science teachers’ beliefs (</w:t>
      </w:r>
      <w:proofErr w:type="spellStart"/>
      <w:r w:rsidRPr="00E06F8B">
        <w:t>Atweh</w:t>
      </w:r>
      <w:proofErr w:type="spellEnd"/>
      <w:r w:rsidRPr="00E06F8B">
        <w:t xml:space="preserve"> &amp; </w:t>
      </w:r>
      <w:proofErr w:type="spellStart"/>
      <w:r w:rsidRPr="00E06F8B">
        <w:t>Abadi</w:t>
      </w:r>
      <w:proofErr w:type="spellEnd"/>
      <w:r w:rsidRPr="00E06F8B">
        <w:t xml:space="preserve">, 2012; </w:t>
      </w:r>
      <w:proofErr w:type="spellStart"/>
      <w:r w:rsidRPr="00E06F8B">
        <w:t>Luft</w:t>
      </w:r>
      <w:proofErr w:type="spellEnd"/>
      <w:r w:rsidRPr="00E06F8B">
        <w:t>, 2001, Tsai, 2002; Wong, Chan, &amp; Lai, 2009), and special a</w:t>
      </w:r>
      <w:r w:rsidRPr="00E06F8B">
        <w:t>t</w:t>
      </w:r>
      <w:r w:rsidRPr="00E06F8B">
        <w:t xml:space="preserve">tention being paid to the development of such beliefs among preservice teachers (Chai, </w:t>
      </w:r>
      <w:proofErr w:type="spellStart"/>
      <w:r w:rsidRPr="00E06F8B">
        <w:t>Teo</w:t>
      </w:r>
      <w:proofErr w:type="spellEnd"/>
      <w:r w:rsidRPr="00E06F8B">
        <w:t xml:space="preserve">, &amp; Lee, 2010; Haney &amp; McArthur, 2002; </w:t>
      </w:r>
      <w:proofErr w:type="spellStart"/>
      <w:r w:rsidRPr="00E06F8B">
        <w:t>Yilmaz-Tuzun</w:t>
      </w:r>
      <w:proofErr w:type="spellEnd"/>
      <w:r w:rsidRPr="00E06F8B">
        <w:t>, 2008).</w:t>
      </w:r>
      <w:r w:rsidR="00DE3647">
        <w:t xml:space="preserve"> </w:t>
      </w:r>
      <w:r w:rsidRPr="00E06F8B">
        <w:t>Research has also looked into how preservice science teachers’ beliefs are changed by their learning experiences such as colla</w:t>
      </w:r>
      <w:r w:rsidRPr="00E06F8B">
        <w:t>b</w:t>
      </w:r>
      <w:r w:rsidRPr="00E06F8B">
        <w:t>orative online learning experiences (Hong &amp; Lin, 2010), inquiry-based field experiences (</w:t>
      </w:r>
      <w:proofErr w:type="spellStart"/>
      <w:r w:rsidRPr="00E06F8B">
        <w:t>Battacharyya</w:t>
      </w:r>
      <w:proofErr w:type="spellEnd"/>
      <w:r w:rsidRPr="00E06F8B">
        <w:t xml:space="preserve">, Volk, &amp; </w:t>
      </w:r>
      <w:proofErr w:type="spellStart"/>
      <w:r w:rsidRPr="00E06F8B">
        <w:t>Lumpe</w:t>
      </w:r>
      <w:proofErr w:type="spellEnd"/>
      <w:r w:rsidRPr="00E06F8B">
        <w:t>, 2009), and induction programs (</w:t>
      </w:r>
      <w:proofErr w:type="spellStart"/>
      <w:r w:rsidRPr="00E06F8B">
        <w:rPr>
          <w:rFonts w:cs="Helvetica"/>
        </w:rPr>
        <w:t>Luft</w:t>
      </w:r>
      <w:proofErr w:type="spellEnd"/>
      <w:r w:rsidRPr="00E06F8B">
        <w:rPr>
          <w:rFonts w:cs="Helvetica"/>
        </w:rPr>
        <w:t xml:space="preserve">, </w:t>
      </w:r>
      <w:proofErr w:type="spellStart"/>
      <w:r w:rsidRPr="00E06F8B">
        <w:rPr>
          <w:rFonts w:cs="Helvetica"/>
        </w:rPr>
        <w:t>Roehrig</w:t>
      </w:r>
      <w:proofErr w:type="spellEnd"/>
      <w:r w:rsidRPr="00E06F8B">
        <w:rPr>
          <w:rFonts w:cs="Helvetica"/>
        </w:rPr>
        <w:t>, &amp; Patterson, 2003</w:t>
      </w:r>
      <w:r w:rsidRPr="00E06F8B">
        <w:t>).</w:t>
      </w:r>
    </w:p>
    <w:p w14:paraId="103FD152" w14:textId="77777777" w:rsidR="007D04A1" w:rsidRPr="00E06F8B" w:rsidRDefault="007D04A1" w:rsidP="004A51F2">
      <w:pPr>
        <w:pStyle w:val="BodyTextFirstIndent"/>
      </w:pPr>
      <w:r w:rsidRPr="00E06F8B">
        <w:t xml:space="preserve">Because most studies on the development of pedagogical beliefs draw from knowledge-building and knowledge-construction approaches to teachers’ development (see e.g., Hong &amp; Lin, 2010; </w:t>
      </w:r>
      <w:proofErr w:type="spellStart"/>
      <w:r w:rsidRPr="00E06F8B">
        <w:t>Luft</w:t>
      </w:r>
      <w:proofErr w:type="spellEnd"/>
      <w:r w:rsidRPr="00E06F8B">
        <w:t>, 2001; Tsai, 2002), the focus of the studies has been on the design features of preser</w:t>
      </w:r>
      <w:r w:rsidRPr="00E06F8B">
        <w:t>v</w:t>
      </w:r>
      <w:r w:rsidRPr="00E06F8B">
        <w:t>ice and inservice teacher development programs that allow for intensive reflections on specific actions of the teacher in the classroom.</w:t>
      </w:r>
      <w:r w:rsidR="00DE3647">
        <w:t xml:space="preserve"> </w:t>
      </w:r>
      <w:r w:rsidRPr="00E06F8B">
        <w:t>Interestin</w:t>
      </w:r>
      <w:r w:rsidRPr="00E06F8B">
        <w:t>g</w:t>
      </w:r>
      <w:r w:rsidRPr="00E06F8B">
        <w:t>ly, a similar focus on reflections on teacher actions is said to be important in the development of pedagogical content knowledge of science teachers (</w:t>
      </w:r>
      <w:proofErr w:type="spellStart"/>
      <w:r w:rsidRPr="00E06F8B">
        <w:t>Loughran</w:t>
      </w:r>
      <w:proofErr w:type="spellEnd"/>
      <w:r w:rsidRPr="00E06F8B">
        <w:t xml:space="preserve">, </w:t>
      </w:r>
      <w:proofErr w:type="spellStart"/>
      <w:r w:rsidRPr="00E06F8B">
        <w:t>Mulhall</w:t>
      </w:r>
      <w:proofErr w:type="spellEnd"/>
      <w:r w:rsidRPr="00E06F8B">
        <w:t>, &amp; Berry, 2004; Park &amp; Oliver, 2008). The teachers’ content or subject matter knowledge seems to serve as an important pr</w:t>
      </w:r>
      <w:r w:rsidRPr="00E06F8B">
        <w:t>e</w:t>
      </w:r>
      <w:r w:rsidRPr="00E06F8B">
        <w:t>requisite for their ability to reflect on their teaching experiences to deve</w:t>
      </w:r>
      <w:r w:rsidRPr="00E06F8B">
        <w:t>l</w:t>
      </w:r>
      <w:r w:rsidRPr="00E06F8B">
        <w:t>op their pedagogical content knowledge (</w:t>
      </w:r>
      <w:proofErr w:type="spellStart"/>
      <w:r w:rsidRPr="00E06F8B">
        <w:t>Loughran</w:t>
      </w:r>
      <w:proofErr w:type="spellEnd"/>
      <w:r w:rsidRPr="00E06F8B">
        <w:t xml:space="preserve"> et al., 2004; van </w:t>
      </w:r>
      <w:proofErr w:type="spellStart"/>
      <w:r w:rsidRPr="00E06F8B">
        <w:t>Driel</w:t>
      </w:r>
      <w:proofErr w:type="spellEnd"/>
      <w:r w:rsidRPr="00E06F8B">
        <w:t xml:space="preserve">, </w:t>
      </w:r>
      <w:proofErr w:type="spellStart"/>
      <w:r w:rsidRPr="00E06F8B">
        <w:t>Verloop</w:t>
      </w:r>
      <w:proofErr w:type="spellEnd"/>
      <w:r w:rsidRPr="00E06F8B">
        <w:t xml:space="preserve">, &amp; de </w:t>
      </w:r>
      <w:proofErr w:type="spellStart"/>
      <w:r w:rsidRPr="00E06F8B">
        <w:t>Vos</w:t>
      </w:r>
      <w:proofErr w:type="spellEnd"/>
      <w:r w:rsidRPr="00E06F8B">
        <w:t>, 1998).</w:t>
      </w:r>
      <w:r w:rsidR="00DE3647">
        <w:t xml:space="preserve"> </w:t>
      </w:r>
      <w:r w:rsidRPr="00E06F8B">
        <w:t>It is on the basis of this prerequisite role of content or subject matter knowledge that we explore the possible effects of science coursework on pedagogical beliefs of science teachers.</w:t>
      </w:r>
    </w:p>
    <w:p w14:paraId="7B4DFA99" w14:textId="77777777" w:rsidR="007D04A1" w:rsidRPr="00E06F8B" w:rsidRDefault="007D04A1" w:rsidP="004A51F2">
      <w:pPr>
        <w:pStyle w:val="BodyTextFirstIndent"/>
      </w:pPr>
      <w:r w:rsidRPr="00E06F8B">
        <w:t>In our study, we explored the possible role of science coursework by comparing beliefs of Filipino science teachers with different levels of co</w:t>
      </w:r>
      <w:r w:rsidRPr="00E06F8B">
        <w:t>l</w:t>
      </w:r>
      <w:r w:rsidRPr="00E06F8B">
        <w:t>lege science courses.</w:t>
      </w:r>
      <w:r w:rsidR="00DE3647">
        <w:t xml:space="preserve"> </w:t>
      </w:r>
      <w:r w:rsidRPr="00E06F8B">
        <w:t xml:space="preserve">Most of the science teachers referred to in the survey we cited earlier were educated using preservice curricula that prescribe </w:t>
      </w:r>
      <w:r w:rsidRPr="00E06F8B">
        <w:lastRenderedPageBreak/>
        <w:t>different sets of minimum required science courses.</w:t>
      </w:r>
      <w:r w:rsidR="00DE3647">
        <w:t xml:space="preserve"> </w:t>
      </w:r>
      <w:r w:rsidRPr="00E06F8B">
        <w:t>For example, primary school teachers follow the curriculum for Bachelor of Elementary Educ</w:t>
      </w:r>
      <w:r w:rsidRPr="00E06F8B">
        <w:t>a</w:t>
      </w:r>
      <w:r w:rsidRPr="00E06F8B">
        <w:t>tion, which does not require any specialization, but allows the student to develop an area of concentration.</w:t>
      </w:r>
      <w:r w:rsidR="00DE3647">
        <w:t xml:space="preserve"> </w:t>
      </w:r>
      <w:r w:rsidRPr="00E06F8B">
        <w:t>Those who do not have any specializ</w:t>
      </w:r>
      <w:r w:rsidRPr="00E06F8B">
        <w:t>a</w:t>
      </w:r>
      <w:r w:rsidRPr="00E06F8B">
        <w:t>tion, are required to take only three science-related courses, and those who have a concentration in science, are required to take three more.</w:t>
      </w:r>
      <w:r w:rsidR="00DE3647">
        <w:t xml:space="preserve"> </w:t>
      </w:r>
      <w:r w:rsidRPr="00E06F8B">
        <w:t>In ge</w:t>
      </w:r>
      <w:r w:rsidRPr="00E06F8B">
        <w:t>n</w:t>
      </w:r>
      <w:r w:rsidRPr="00E06F8B">
        <w:t>eral, secondary school science teachers have more science courses in their postsecondary education than primary school teachers. They follow the curriculum for Bachelor of Secondary Education, and are required to have a major in some subject area (e.g., mathematics, social studies, general science, biology, chemistry, etc.).</w:t>
      </w:r>
      <w:r w:rsidR="00DE3647">
        <w:t xml:space="preserve"> </w:t>
      </w:r>
      <w:r w:rsidRPr="00E06F8B">
        <w:t>Those who do not major in science, are still required to take three or four basic science courses, but those who major in science will take a total of 10 to 12 science courses (</w:t>
      </w:r>
      <w:proofErr w:type="spellStart"/>
      <w:r w:rsidRPr="00E06F8B">
        <w:t>Golla</w:t>
      </w:r>
      <w:proofErr w:type="spellEnd"/>
      <w:r w:rsidRPr="00E06F8B">
        <w:t xml:space="preserve"> &amp; de Guzman, 1998; this requirement was increased recently, Bernardo, 2007). Our first analysis involved comparing these two groups of science teac</w:t>
      </w:r>
      <w:r w:rsidRPr="00E06F8B">
        <w:t>h</w:t>
      </w:r>
      <w:r w:rsidRPr="00E06F8B">
        <w:t>ers.</w:t>
      </w:r>
      <w:r w:rsidR="00DE3647">
        <w:t xml:space="preserve"> </w:t>
      </w:r>
      <w:r w:rsidRPr="00E06F8B">
        <w:t>As the teachers in both categories may not have majored in science, our second analysis involved comparing science teachers who majored and science to those who did not major in science.</w:t>
      </w:r>
      <w:r w:rsidR="00DE3647">
        <w:t xml:space="preserve"> </w:t>
      </w:r>
    </w:p>
    <w:p w14:paraId="7993A82E" w14:textId="77777777" w:rsidR="007D04A1" w:rsidRPr="00E06F8B" w:rsidRDefault="007D04A1" w:rsidP="002B512A">
      <w:pPr>
        <w:pStyle w:val="BodyTextFirstIndent"/>
      </w:pPr>
      <w:r w:rsidRPr="00E06F8B">
        <w:t xml:space="preserve">In the Philippines, previous research on preservice teacher beliefs has focused on epistemological beliefs (Bernardo, 2008; </w:t>
      </w:r>
      <w:proofErr w:type="spellStart"/>
      <w:r w:rsidRPr="00E06F8B">
        <w:t>Magno</w:t>
      </w:r>
      <w:proofErr w:type="spellEnd"/>
      <w:r w:rsidRPr="00E06F8B">
        <w:t>, 2010, 2011).</w:t>
      </w:r>
      <w:r w:rsidR="00DE3647">
        <w:t xml:space="preserve"> </w:t>
      </w:r>
      <w:r w:rsidRPr="00E06F8B">
        <w:t>But in this study, we focused only on three sets of beliefs related to (a) science teaching, (b) successful learning in science, and (c) cultural b</w:t>
      </w:r>
      <w:r w:rsidRPr="00E06F8B">
        <w:t>e</w:t>
      </w:r>
      <w:r w:rsidRPr="00E06F8B">
        <w:t>liefs.</w:t>
      </w:r>
      <w:r w:rsidR="00DE3647">
        <w:t xml:space="preserve"> </w:t>
      </w:r>
      <w:r w:rsidRPr="00E06F8B">
        <w:t>Most scholars on teacher beliefs have long maintained the i</w:t>
      </w:r>
      <w:r w:rsidRPr="00E06F8B">
        <w:t>m</w:t>
      </w:r>
      <w:r w:rsidRPr="00E06F8B">
        <w:t>portance of focusing on beliefs that relate to the nature of the teaching and learning processes (</w:t>
      </w:r>
      <w:proofErr w:type="spellStart"/>
      <w:r w:rsidRPr="00E06F8B">
        <w:t>Ertmer</w:t>
      </w:r>
      <w:proofErr w:type="spellEnd"/>
      <w:r w:rsidRPr="00E06F8B">
        <w:t xml:space="preserve">, 2005; </w:t>
      </w:r>
      <w:proofErr w:type="spellStart"/>
      <w:r w:rsidRPr="00E06F8B">
        <w:t>Woofolk</w:t>
      </w:r>
      <w:proofErr w:type="spellEnd"/>
      <w:r w:rsidRPr="00E06F8B">
        <w:t>-Hoy et al., 2006).</w:t>
      </w:r>
      <w:r w:rsidR="00DE3647">
        <w:t xml:space="preserve"> </w:t>
      </w:r>
      <w:r w:rsidRPr="00E06F8B">
        <w:t>Thus we focused on these two aspects of the teachers’ pedagogical beliefs, and we contrasted between two specific types of beliefs in each of the two sets of pedagogical beliefs (as we explain in the following paragraphs).</w:t>
      </w:r>
      <w:r w:rsidR="00DE3647">
        <w:t xml:space="preserve"> </w:t>
      </w:r>
    </w:p>
    <w:p w14:paraId="30A7DC6E" w14:textId="77777777" w:rsidR="007D04A1" w:rsidRPr="00E06F8B" w:rsidRDefault="007D04A1" w:rsidP="004A51F2">
      <w:pPr>
        <w:pStyle w:val="BodyTextFirstIndent"/>
      </w:pPr>
      <w:r w:rsidRPr="00E06F8B">
        <w:t>Regarding science teaching, many proposals, have been made to ca</w:t>
      </w:r>
      <w:r w:rsidRPr="00E06F8B">
        <w:t>p</w:t>
      </w:r>
      <w:r w:rsidRPr="00E06F8B">
        <w:t>ture dimensions of teachers beliefs about science teaching, but in many of the proposals the important contrasts relate to the role of the teacher vis-à-vis the knowledge acquisition processes in the learning.</w:t>
      </w:r>
      <w:r w:rsidR="00DE3647">
        <w:t xml:space="preserve"> </w:t>
      </w:r>
      <w:r w:rsidRPr="00E06F8B">
        <w:t xml:space="preserve">Larkin (2000) used the terms broadcast model and learning support model to contrast the two views (other scholars used other specific terms to refer to similar models, e.g., Jackson, 1986, use the term transitional vs. transformational, and </w:t>
      </w:r>
      <w:proofErr w:type="spellStart"/>
      <w:r w:rsidRPr="00E06F8B">
        <w:t>Kember</w:t>
      </w:r>
      <w:proofErr w:type="spellEnd"/>
      <w:r w:rsidRPr="00E06F8B">
        <w:t>, 1997, used the terms such as teacher-centered vs. learner-centered).</w:t>
      </w:r>
      <w:r w:rsidR="00DE3647">
        <w:t xml:space="preserve"> </w:t>
      </w:r>
      <w:r w:rsidRPr="00E06F8B">
        <w:t>The belief the teaching science is like broadcasting puts the teacher in the role of the authoritative source of scientific knowledge who lectures and explains the scientific concepts accurately and clearly, pr</w:t>
      </w:r>
      <w:r w:rsidRPr="00E06F8B">
        <w:t>o</w:t>
      </w:r>
      <w:r w:rsidRPr="00E06F8B">
        <w:t>vides assignments so students can be assessed and graded.</w:t>
      </w:r>
      <w:r w:rsidR="00DE3647">
        <w:t xml:space="preserve"> </w:t>
      </w:r>
      <w:r w:rsidRPr="00E06F8B">
        <w:t>The belief that teaching science involves supporting learning, casts the teacher into a role of someone who analyzes the learning task and learning processes of the student, and designs learning activities that would support the students’ diverse learning approaches and processes.</w:t>
      </w:r>
      <w:r w:rsidR="00DE3647">
        <w:t xml:space="preserve"> </w:t>
      </w:r>
    </w:p>
    <w:p w14:paraId="32C03B35" w14:textId="77777777" w:rsidR="007D04A1" w:rsidRPr="00E06F8B" w:rsidRDefault="007D04A1" w:rsidP="004A51F2">
      <w:pPr>
        <w:pStyle w:val="BodyTextFirstIndent"/>
      </w:pPr>
      <w:r w:rsidRPr="00E06F8B">
        <w:lastRenderedPageBreak/>
        <w:t xml:space="preserve">Beliefs about successful learning are wide-ranging and even include beliefs regarding the nature of knowledge that needs to be learned, about effective approaches to learning, the products of the learning process, among others (Chan, 2010; Chai, Deng, Wong, &amp; </w:t>
      </w:r>
      <w:proofErr w:type="spellStart"/>
      <w:r w:rsidRPr="00E06F8B">
        <w:t>Qian</w:t>
      </w:r>
      <w:proofErr w:type="spellEnd"/>
      <w:r w:rsidRPr="00E06F8B">
        <w:t>, 2010; Tsai, 2001).</w:t>
      </w:r>
      <w:r w:rsidR="00DE3647">
        <w:t xml:space="preserve"> </w:t>
      </w:r>
      <w:r w:rsidRPr="00E06F8B">
        <w:t>In this study, we focused on the role of two very specific factors that were identified by Stevenson and Stigler (1992) as contrasting beliefs that underlie the learning experiences of learners from western and eastern cultures: ability and effort.</w:t>
      </w:r>
      <w:r w:rsidR="00DE3647">
        <w:t xml:space="preserve"> </w:t>
      </w:r>
      <w:r w:rsidRPr="00E06F8B">
        <w:t>Firstly, the belief that successful learning is largely dependent on the student’s intelligence and/or learning ability is premised on the assumption that the complex and higher level cognitive processes involved in learning different subject matter requires some mi</w:t>
      </w:r>
      <w:r w:rsidRPr="00E06F8B">
        <w:t>n</w:t>
      </w:r>
      <w:r w:rsidRPr="00E06F8B">
        <w:t>imum level of intelligence or ability.</w:t>
      </w:r>
      <w:r w:rsidR="00DE3647">
        <w:t xml:space="preserve"> </w:t>
      </w:r>
      <w:r w:rsidRPr="00E06F8B">
        <w:t>Students attain different levels of success in learning because students possess different levels of this ability.</w:t>
      </w:r>
      <w:r w:rsidR="00DE3647">
        <w:t xml:space="preserve"> </w:t>
      </w:r>
      <w:r w:rsidRPr="00E06F8B">
        <w:t>Secondly, the belief that successful learning depends on effort is premised on the assumption that learning is a gradual and incremental process that requires sustained work and persistence over time.</w:t>
      </w:r>
      <w:r w:rsidR="00DE3647">
        <w:t xml:space="preserve"> </w:t>
      </w:r>
      <w:r w:rsidRPr="00E06F8B">
        <w:t>Thus, successful lear</w:t>
      </w:r>
      <w:r w:rsidRPr="00E06F8B">
        <w:t>n</w:t>
      </w:r>
      <w:r w:rsidRPr="00E06F8B">
        <w:t>ing depends more on the amount of effort that the students put into the learning tasks, and whether this effort is sustained over time.</w:t>
      </w:r>
      <w:r w:rsidR="00DE3647">
        <w:t xml:space="preserve"> </w:t>
      </w:r>
    </w:p>
    <w:p w14:paraId="13AC3287" w14:textId="77777777" w:rsidR="007D04A1" w:rsidRPr="00E06F8B" w:rsidRDefault="007D04A1" w:rsidP="004A51F2">
      <w:pPr>
        <w:pStyle w:val="BodyTextFirstIndent"/>
      </w:pPr>
      <w:r w:rsidRPr="00E06F8B">
        <w:t xml:space="preserve">We decided to include a set of beliefs that are not, strictly speaking, </w:t>
      </w:r>
      <w:proofErr w:type="gramStart"/>
      <w:r w:rsidRPr="00E06F8B">
        <w:t>pedagogical</w:t>
      </w:r>
      <w:proofErr w:type="gramEnd"/>
      <w:r w:rsidRPr="00E06F8B">
        <w:t xml:space="preserve"> beliefs.</w:t>
      </w:r>
      <w:r w:rsidR="00DE3647">
        <w:t xml:space="preserve"> </w:t>
      </w:r>
      <w:r w:rsidRPr="00E06F8B">
        <w:t>Science teachers may hold knowledge and beliefs regarding the natural environment, physical phenomena, health and h</w:t>
      </w:r>
      <w:r w:rsidRPr="00E06F8B">
        <w:t>u</w:t>
      </w:r>
      <w:r w:rsidRPr="00E06F8B">
        <w:t>man development that reflect their folk beliefs and other forms of cultural beliefs and knowledge.</w:t>
      </w:r>
      <w:r w:rsidR="00DE3647">
        <w:t xml:space="preserve"> </w:t>
      </w:r>
      <w:r w:rsidRPr="00E06F8B">
        <w:t>Teachers’ cultural beliefs also reflect on their b</w:t>
      </w:r>
      <w:r w:rsidRPr="00E06F8B">
        <w:t>e</w:t>
      </w:r>
      <w:r w:rsidRPr="00E06F8B">
        <w:t>liefs regarding the nature of knowledge or the subject matter they teach in science and are relevant to their pedagogical knowledge</w:t>
      </w:r>
      <w:r w:rsidR="00DE3647">
        <w:t xml:space="preserve"> </w:t>
      </w:r>
      <w:r w:rsidRPr="00E06F8B">
        <w:t>(</w:t>
      </w:r>
      <w:proofErr w:type="spellStart"/>
      <w:r w:rsidRPr="00E06F8B">
        <w:t>Handa</w:t>
      </w:r>
      <w:proofErr w:type="spellEnd"/>
      <w:r w:rsidRPr="00E06F8B">
        <w:t xml:space="preserve"> &amp; </w:t>
      </w:r>
      <w:proofErr w:type="spellStart"/>
      <w:r w:rsidRPr="00E06F8B">
        <w:t>Ti</w:t>
      </w:r>
      <w:r w:rsidRPr="00E06F8B">
        <w:t>p</w:t>
      </w:r>
      <w:r w:rsidRPr="00E06F8B">
        <w:t>pins</w:t>
      </w:r>
      <w:proofErr w:type="spellEnd"/>
      <w:r w:rsidRPr="00E06F8B">
        <w:t>, 2012).</w:t>
      </w:r>
      <w:r w:rsidR="00DE3647">
        <w:t xml:space="preserve"> </w:t>
      </w:r>
      <w:r w:rsidRPr="00E06F8B">
        <w:t>Even as these beliefs are not verified using scientific a</w:t>
      </w:r>
      <w:r w:rsidRPr="00E06F8B">
        <w:t>p</w:t>
      </w:r>
      <w:r w:rsidRPr="00E06F8B">
        <w:t>proaches, and may even contradict established scientific principles, they can be seen as important knowledge resources that shape science teachers practices.</w:t>
      </w:r>
      <w:r w:rsidR="00DE3647">
        <w:t xml:space="preserve"> </w:t>
      </w:r>
      <w:r w:rsidRPr="00E06F8B">
        <w:t>Indeed, other scholars have pointed to the significance of such cultural beliefs in the experience of both students and teachers (</w:t>
      </w:r>
      <w:proofErr w:type="spellStart"/>
      <w:r w:rsidRPr="00E06F8B">
        <w:t>Handa</w:t>
      </w:r>
      <w:proofErr w:type="spellEnd"/>
      <w:r w:rsidRPr="00E06F8B">
        <w:t xml:space="preserve"> &amp; </w:t>
      </w:r>
      <w:proofErr w:type="spellStart"/>
      <w:r w:rsidRPr="00E06F8B">
        <w:t>Tippins</w:t>
      </w:r>
      <w:proofErr w:type="spellEnd"/>
      <w:r w:rsidRPr="00E06F8B">
        <w:t xml:space="preserve">, 2012; </w:t>
      </w:r>
      <w:proofErr w:type="spellStart"/>
      <w:r w:rsidRPr="00E06F8B">
        <w:rPr>
          <w:rFonts w:cs="Helvetica"/>
          <w:color w:val="101010"/>
        </w:rPr>
        <w:t>Lindenman</w:t>
      </w:r>
      <w:proofErr w:type="spellEnd"/>
      <w:r w:rsidRPr="00E06F8B">
        <w:rPr>
          <w:rFonts w:cs="Helvetica"/>
          <w:color w:val="101010"/>
        </w:rPr>
        <w:t xml:space="preserve">, </w:t>
      </w:r>
      <w:proofErr w:type="spellStart"/>
      <w:r w:rsidRPr="00E06F8B">
        <w:rPr>
          <w:rFonts w:cs="Helvetica"/>
          <w:color w:val="101010"/>
        </w:rPr>
        <w:t>Svedholm</w:t>
      </w:r>
      <w:proofErr w:type="spellEnd"/>
      <w:r w:rsidRPr="00E06F8B">
        <w:rPr>
          <w:rFonts w:cs="Helvetica"/>
          <w:color w:val="101010"/>
        </w:rPr>
        <w:t xml:space="preserve">, Takada, </w:t>
      </w:r>
      <w:proofErr w:type="spellStart"/>
      <w:r w:rsidRPr="00E06F8B">
        <w:rPr>
          <w:rFonts w:cs="Helvetica"/>
          <w:color w:val="101010"/>
        </w:rPr>
        <w:t>Lonnqvist</w:t>
      </w:r>
      <w:proofErr w:type="spellEnd"/>
      <w:r w:rsidRPr="00E06F8B">
        <w:rPr>
          <w:rFonts w:cs="Helvetica"/>
          <w:color w:val="101010"/>
        </w:rPr>
        <w:t xml:space="preserve">, &amp; </w:t>
      </w:r>
      <w:proofErr w:type="spellStart"/>
      <w:r w:rsidRPr="00E06F8B">
        <w:rPr>
          <w:rFonts w:cs="Helvetica"/>
          <w:color w:val="101010"/>
        </w:rPr>
        <w:t>Verkasalo</w:t>
      </w:r>
      <w:proofErr w:type="spellEnd"/>
      <w:r w:rsidRPr="00E06F8B">
        <w:rPr>
          <w:rFonts w:cs="Helvetica"/>
          <w:color w:val="101010"/>
        </w:rPr>
        <w:t>, 2011).</w:t>
      </w:r>
      <w:r w:rsidR="00DE3647">
        <w:rPr>
          <w:rFonts w:cs="Helvetica"/>
          <w:color w:val="101010"/>
        </w:rPr>
        <w:t xml:space="preserve"> </w:t>
      </w:r>
      <w:r w:rsidRPr="00E06F8B">
        <w:t>To summarize the focus of our investigation, we inquired into the following specific beliefs of Filipino science teachers: (a) teaching as broadcasting, (b) teaching as learning support, (c) learning driven by abi</w:t>
      </w:r>
      <w:r w:rsidRPr="00E06F8B">
        <w:t>l</w:t>
      </w:r>
      <w:r w:rsidRPr="00E06F8B">
        <w:t>ity, (d) learning driven by effort, and (e) cultural beliefs.</w:t>
      </w:r>
      <w:r w:rsidR="00DE3647">
        <w:t xml:space="preserve"> </w:t>
      </w:r>
      <w:r w:rsidRPr="00E06F8B">
        <w:t>We grouped teachers in two ways: first, primary school vs. secondary school, then, science-major vs. non-science major; and compared the degree to which teachers in the groups endorsed the different beliefs.</w:t>
      </w:r>
      <w:r w:rsidR="00DE3647">
        <w:t xml:space="preserve"> </w:t>
      </w:r>
    </w:p>
    <w:p w14:paraId="501B2974" w14:textId="77777777" w:rsidR="00B204E0" w:rsidRDefault="00B204E0" w:rsidP="004A51F2">
      <w:pPr>
        <w:pStyle w:val="BodyTextFirstIndent"/>
      </w:pPr>
    </w:p>
    <w:p w14:paraId="6CE2D01E" w14:textId="77777777" w:rsidR="007011A8" w:rsidRDefault="007011A8" w:rsidP="004A51F2">
      <w:pPr>
        <w:pStyle w:val="BodyTextFirstIndent"/>
      </w:pPr>
    </w:p>
    <w:p w14:paraId="545707C2" w14:textId="77777777" w:rsidR="007011A8" w:rsidRDefault="007011A8" w:rsidP="004A51F2">
      <w:pPr>
        <w:pStyle w:val="BodyTextFirstIndent"/>
      </w:pPr>
    </w:p>
    <w:p w14:paraId="29D176DE" w14:textId="77777777" w:rsidR="007011A8" w:rsidRDefault="007011A8" w:rsidP="004A51F2">
      <w:pPr>
        <w:pStyle w:val="BodyTextFirstIndent"/>
      </w:pPr>
    </w:p>
    <w:p w14:paraId="63C9F0DF" w14:textId="77777777" w:rsidR="007011A8" w:rsidRPr="00E06F8B" w:rsidRDefault="007011A8" w:rsidP="004A51F2">
      <w:pPr>
        <w:pStyle w:val="BodyTextFirstIndent"/>
      </w:pPr>
    </w:p>
    <w:p w14:paraId="6CDA6C05" w14:textId="77777777" w:rsidR="007D04A1" w:rsidRPr="00E06F8B" w:rsidRDefault="007D04A1" w:rsidP="00433228">
      <w:pPr>
        <w:pStyle w:val="Heading1"/>
      </w:pPr>
      <w:r w:rsidRPr="00E06F8B">
        <w:lastRenderedPageBreak/>
        <w:t>Method</w:t>
      </w:r>
    </w:p>
    <w:p w14:paraId="126EF7D3" w14:textId="77777777" w:rsidR="007D04A1" w:rsidRPr="00E06F8B" w:rsidRDefault="007D04A1" w:rsidP="004A51F2">
      <w:pPr>
        <w:pStyle w:val="Heading2"/>
      </w:pPr>
      <w:r w:rsidRPr="00E06F8B">
        <w:t>Participants</w:t>
      </w:r>
    </w:p>
    <w:p w14:paraId="462624CE" w14:textId="77777777" w:rsidR="007D04A1" w:rsidRPr="00E06F8B" w:rsidRDefault="007D04A1" w:rsidP="00475A74">
      <w:r w:rsidRPr="00E06F8B">
        <w:t>The participants in the study were 305 primary and secondary school sc</w:t>
      </w:r>
      <w:r w:rsidRPr="00E06F8B">
        <w:t>i</w:t>
      </w:r>
      <w:r w:rsidRPr="00E06F8B">
        <w:t>ence teachers from a province in the northern region of the Philippines.</w:t>
      </w:r>
      <w:r w:rsidR="00DE3647">
        <w:t xml:space="preserve"> </w:t>
      </w:r>
      <w:r w:rsidRPr="00E06F8B">
        <w:t>The teachers were selected to participate using a stratified random sa</w:t>
      </w:r>
      <w:r w:rsidRPr="00E06F8B">
        <w:t>m</w:t>
      </w:r>
      <w:r w:rsidRPr="00E06F8B">
        <w:t>pling of the schools.</w:t>
      </w:r>
      <w:r w:rsidR="00DE3647">
        <w:t xml:space="preserve"> </w:t>
      </w:r>
      <w:r w:rsidRPr="00E06F8B">
        <w:t>First, five school districts were randomly sampled from the 25 school districts in the province; then half of the schools in the five school districts were randomly selected for the study.</w:t>
      </w:r>
      <w:r w:rsidR="00DE3647">
        <w:t xml:space="preserve"> </w:t>
      </w:r>
      <w:r w:rsidRPr="00E06F8B">
        <w:t>All the teachers in the selected primary and secondary schools were invited to participate in the study, and all gave their informed consent to answer the research questionnaire.</w:t>
      </w:r>
      <w:r w:rsidR="00DE3647">
        <w:t xml:space="preserve"> </w:t>
      </w:r>
      <w:r w:rsidRPr="00E06F8B">
        <w:t>Some of the relevant characteristics of the participants are summarized in Table 1.</w:t>
      </w:r>
    </w:p>
    <w:p w14:paraId="405ED3CB" w14:textId="77777777" w:rsidR="00887316" w:rsidRPr="00280A9F" w:rsidRDefault="00887316" w:rsidP="001D0537">
      <w:pPr>
        <w:pStyle w:val="SEI-TableFigureheading"/>
      </w:pPr>
      <w:r w:rsidRPr="00280A9F">
        <w:t>Table 1</w:t>
      </w:r>
      <w:r w:rsidR="001D0537">
        <w:t>.</w:t>
      </w:r>
      <w:r w:rsidR="001D0537">
        <w:tab/>
      </w:r>
      <w:r w:rsidRPr="00280A9F">
        <w:t>Characteristics of participants</w:t>
      </w:r>
    </w:p>
    <w:tbl>
      <w:tblPr>
        <w:tblW w:w="5000" w:type="pct"/>
        <w:tblLook w:val="00A0" w:firstRow="1" w:lastRow="0" w:firstColumn="1" w:lastColumn="0" w:noHBand="0" w:noVBand="0"/>
      </w:tblPr>
      <w:tblGrid>
        <w:gridCol w:w="3386"/>
        <w:gridCol w:w="1668"/>
        <w:gridCol w:w="1740"/>
      </w:tblGrid>
      <w:tr w:rsidR="00887316" w:rsidRPr="00E06F8B" w14:paraId="59F5E3E3" w14:textId="77777777">
        <w:tc>
          <w:tcPr>
            <w:tcW w:w="4258" w:type="dxa"/>
            <w:tcBorders>
              <w:top w:val="single" w:sz="4" w:space="0" w:color="auto"/>
              <w:bottom w:val="single" w:sz="4" w:space="0" w:color="auto"/>
            </w:tcBorders>
          </w:tcPr>
          <w:p w14:paraId="10EFEE3D" w14:textId="77777777" w:rsidR="00887316" w:rsidRPr="00E06F8B" w:rsidRDefault="00887316" w:rsidP="001A5691">
            <w:pPr>
              <w:rPr>
                <w:rFonts w:cs="Times New Roman"/>
                <w:sz w:val="20"/>
                <w:szCs w:val="20"/>
              </w:rPr>
            </w:pPr>
          </w:p>
        </w:tc>
        <w:tc>
          <w:tcPr>
            <w:tcW w:w="2129" w:type="dxa"/>
            <w:tcBorders>
              <w:top w:val="single" w:sz="4" w:space="0" w:color="auto"/>
              <w:bottom w:val="single" w:sz="4" w:space="0" w:color="auto"/>
            </w:tcBorders>
          </w:tcPr>
          <w:p w14:paraId="5F934551" w14:textId="77777777" w:rsidR="00887316" w:rsidRPr="00E06F8B" w:rsidRDefault="00887316" w:rsidP="001A5691">
            <w:pPr>
              <w:jc w:val="center"/>
              <w:rPr>
                <w:rFonts w:cs="Times New Roman"/>
                <w:sz w:val="20"/>
                <w:szCs w:val="20"/>
              </w:rPr>
            </w:pPr>
            <w:r w:rsidRPr="00E06F8B">
              <w:rPr>
                <w:rFonts w:cs="Times New Roman"/>
                <w:sz w:val="20"/>
                <w:szCs w:val="20"/>
              </w:rPr>
              <w:t>Primary School</w:t>
            </w:r>
          </w:p>
          <w:p w14:paraId="2FD7263E" w14:textId="77777777" w:rsidR="00887316" w:rsidRPr="00E06F8B" w:rsidRDefault="00887316" w:rsidP="001A5691">
            <w:pPr>
              <w:jc w:val="center"/>
              <w:rPr>
                <w:rFonts w:cs="Times New Roman"/>
                <w:sz w:val="20"/>
                <w:szCs w:val="20"/>
              </w:rPr>
            </w:pPr>
            <w:r w:rsidRPr="00E06F8B">
              <w:rPr>
                <w:rFonts w:cs="Times New Roman"/>
                <w:sz w:val="20"/>
                <w:szCs w:val="20"/>
              </w:rPr>
              <w:t>(N = 179)</w:t>
            </w:r>
          </w:p>
        </w:tc>
        <w:tc>
          <w:tcPr>
            <w:tcW w:w="2129" w:type="dxa"/>
            <w:tcBorders>
              <w:top w:val="single" w:sz="4" w:space="0" w:color="auto"/>
              <w:bottom w:val="single" w:sz="4" w:space="0" w:color="auto"/>
            </w:tcBorders>
          </w:tcPr>
          <w:p w14:paraId="6BE2EEFD" w14:textId="77777777" w:rsidR="00887316" w:rsidRPr="00E06F8B" w:rsidRDefault="00887316" w:rsidP="001A5691">
            <w:pPr>
              <w:jc w:val="center"/>
              <w:rPr>
                <w:rFonts w:cs="Times New Roman"/>
                <w:sz w:val="20"/>
                <w:szCs w:val="20"/>
              </w:rPr>
            </w:pPr>
            <w:r w:rsidRPr="00E06F8B">
              <w:rPr>
                <w:rFonts w:cs="Times New Roman"/>
                <w:sz w:val="20"/>
                <w:szCs w:val="20"/>
              </w:rPr>
              <w:t>Secondary School</w:t>
            </w:r>
          </w:p>
          <w:p w14:paraId="7BF75146" w14:textId="77777777" w:rsidR="00887316" w:rsidRPr="00E06F8B" w:rsidRDefault="00887316" w:rsidP="001A5691">
            <w:pPr>
              <w:jc w:val="center"/>
              <w:rPr>
                <w:rFonts w:cs="Times New Roman"/>
                <w:sz w:val="20"/>
                <w:szCs w:val="20"/>
              </w:rPr>
            </w:pPr>
            <w:r w:rsidRPr="00E06F8B">
              <w:rPr>
                <w:rFonts w:cs="Times New Roman"/>
                <w:sz w:val="20"/>
                <w:szCs w:val="20"/>
              </w:rPr>
              <w:t>(N = 126)</w:t>
            </w:r>
          </w:p>
        </w:tc>
      </w:tr>
      <w:tr w:rsidR="00887316" w:rsidRPr="00E06F8B" w14:paraId="0780A407" w14:textId="77777777">
        <w:tc>
          <w:tcPr>
            <w:tcW w:w="4258" w:type="dxa"/>
          </w:tcPr>
          <w:p w14:paraId="4934663D" w14:textId="77777777" w:rsidR="00887316" w:rsidRPr="00D11261" w:rsidRDefault="00887316" w:rsidP="001A5691">
            <w:pPr>
              <w:rPr>
                <w:rFonts w:cs="Times New Roman"/>
                <w:i/>
                <w:sz w:val="20"/>
                <w:szCs w:val="20"/>
              </w:rPr>
            </w:pPr>
            <w:r w:rsidRPr="00D11261">
              <w:rPr>
                <w:rFonts w:cs="Times New Roman"/>
                <w:i/>
                <w:sz w:val="20"/>
                <w:szCs w:val="20"/>
              </w:rPr>
              <w:t>Gender</w:t>
            </w:r>
          </w:p>
        </w:tc>
        <w:tc>
          <w:tcPr>
            <w:tcW w:w="2129" w:type="dxa"/>
          </w:tcPr>
          <w:p w14:paraId="7A4305C7" w14:textId="77777777" w:rsidR="00887316" w:rsidRPr="00E06F8B" w:rsidRDefault="00887316" w:rsidP="00E06F8B">
            <w:pPr>
              <w:jc w:val="center"/>
            </w:pPr>
          </w:p>
        </w:tc>
        <w:tc>
          <w:tcPr>
            <w:tcW w:w="2129" w:type="dxa"/>
          </w:tcPr>
          <w:p w14:paraId="78419867" w14:textId="77777777" w:rsidR="00887316" w:rsidRPr="00E06F8B" w:rsidRDefault="00887316" w:rsidP="00E06F8B">
            <w:pPr>
              <w:jc w:val="center"/>
            </w:pPr>
          </w:p>
        </w:tc>
      </w:tr>
      <w:tr w:rsidR="00887316" w:rsidRPr="00E06F8B" w14:paraId="7457CEBC" w14:textId="77777777">
        <w:tc>
          <w:tcPr>
            <w:tcW w:w="4258" w:type="dxa"/>
          </w:tcPr>
          <w:p w14:paraId="6D2156B7" w14:textId="77777777" w:rsidR="00887316" w:rsidRPr="00E06F8B" w:rsidRDefault="00887316" w:rsidP="005A2409">
            <w:pPr>
              <w:numPr>
                <w:ilvl w:val="0"/>
                <w:numId w:val="12"/>
              </w:numPr>
              <w:ind w:left="238" w:hanging="238"/>
              <w:rPr>
                <w:sz w:val="20"/>
                <w:szCs w:val="20"/>
              </w:rPr>
            </w:pPr>
            <w:r w:rsidRPr="00E06F8B">
              <w:rPr>
                <w:sz w:val="20"/>
                <w:szCs w:val="20"/>
              </w:rPr>
              <w:t>Male</w:t>
            </w:r>
          </w:p>
        </w:tc>
        <w:tc>
          <w:tcPr>
            <w:tcW w:w="2129" w:type="dxa"/>
          </w:tcPr>
          <w:p w14:paraId="330890D5" w14:textId="77777777" w:rsidR="00887316" w:rsidRPr="00E06F8B" w:rsidRDefault="00887316" w:rsidP="00E06F8B">
            <w:pPr>
              <w:jc w:val="center"/>
            </w:pPr>
            <w:r w:rsidRPr="00E06F8B">
              <w:t>21</w:t>
            </w:r>
          </w:p>
        </w:tc>
        <w:tc>
          <w:tcPr>
            <w:tcW w:w="2129" w:type="dxa"/>
          </w:tcPr>
          <w:p w14:paraId="6AA91A03" w14:textId="77777777" w:rsidR="00887316" w:rsidRPr="00E06F8B" w:rsidRDefault="00887316" w:rsidP="00E06F8B">
            <w:pPr>
              <w:jc w:val="center"/>
            </w:pPr>
            <w:r w:rsidRPr="00E06F8B">
              <w:t>30</w:t>
            </w:r>
          </w:p>
        </w:tc>
      </w:tr>
      <w:tr w:rsidR="00887316" w:rsidRPr="00E06F8B" w14:paraId="7360DDC0" w14:textId="77777777">
        <w:tc>
          <w:tcPr>
            <w:tcW w:w="4258" w:type="dxa"/>
          </w:tcPr>
          <w:p w14:paraId="67A306D8" w14:textId="77777777" w:rsidR="00887316" w:rsidRPr="00E06F8B" w:rsidRDefault="00887316" w:rsidP="005A2409">
            <w:pPr>
              <w:numPr>
                <w:ilvl w:val="0"/>
                <w:numId w:val="12"/>
              </w:numPr>
              <w:ind w:left="238" w:hanging="238"/>
              <w:rPr>
                <w:sz w:val="20"/>
                <w:szCs w:val="20"/>
              </w:rPr>
            </w:pPr>
            <w:r w:rsidRPr="00E06F8B">
              <w:rPr>
                <w:sz w:val="20"/>
                <w:szCs w:val="20"/>
              </w:rPr>
              <w:t>Female</w:t>
            </w:r>
          </w:p>
        </w:tc>
        <w:tc>
          <w:tcPr>
            <w:tcW w:w="2129" w:type="dxa"/>
          </w:tcPr>
          <w:p w14:paraId="744A72BE" w14:textId="77777777" w:rsidR="00887316" w:rsidRPr="00E06F8B" w:rsidRDefault="00887316" w:rsidP="00E06F8B">
            <w:pPr>
              <w:jc w:val="center"/>
            </w:pPr>
            <w:r w:rsidRPr="00E06F8B">
              <w:t>157</w:t>
            </w:r>
          </w:p>
        </w:tc>
        <w:tc>
          <w:tcPr>
            <w:tcW w:w="2129" w:type="dxa"/>
          </w:tcPr>
          <w:p w14:paraId="6720E0E7" w14:textId="77777777" w:rsidR="00887316" w:rsidRPr="00E06F8B" w:rsidRDefault="00887316" w:rsidP="00E06F8B">
            <w:pPr>
              <w:jc w:val="center"/>
            </w:pPr>
            <w:r w:rsidRPr="00E06F8B">
              <w:t>92</w:t>
            </w:r>
          </w:p>
        </w:tc>
      </w:tr>
      <w:tr w:rsidR="00887316" w:rsidRPr="00E06F8B" w14:paraId="4143A362" w14:textId="77777777">
        <w:tc>
          <w:tcPr>
            <w:tcW w:w="4258" w:type="dxa"/>
          </w:tcPr>
          <w:p w14:paraId="6627F4CD" w14:textId="77777777" w:rsidR="00887316" w:rsidRPr="00E06F8B" w:rsidRDefault="00887316" w:rsidP="005A2409">
            <w:pPr>
              <w:numPr>
                <w:ilvl w:val="0"/>
                <w:numId w:val="12"/>
              </w:numPr>
              <w:ind w:left="238" w:hanging="238"/>
              <w:rPr>
                <w:sz w:val="20"/>
                <w:szCs w:val="20"/>
              </w:rPr>
            </w:pPr>
            <w:r w:rsidRPr="00E06F8B">
              <w:rPr>
                <w:sz w:val="20"/>
                <w:szCs w:val="20"/>
              </w:rPr>
              <w:t>No data</w:t>
            </w:r>
          </w:p>
        </w:tc>
        <w:tc>
          <w:tcPr>
            <w:tcW w:w="2129" w:type="dxa"/>
          </w:tcPr>
          <w:p w14:paraId="25E74599" w14:textId="77777777" w:rsidR="00887316" w:rsidRPr="00E06F8B" w:rsidRDefault="00887316" w:rsidP="00E06F8B">
            <w:pPr>
              <w:jc w:val="center"/>
            </w:pPr>
            <w:r w:rsidRPr="00E06F8B">
              <w:t>1</w:t>
            </w:r>
          </w:p>
        </w:tc>
        <w:tc>
          <w:tcPr>
            <w:tcW w:w="2129" w:type="dxa"/>
          </w:tcPr>
          <w:p w14:paraId="3465D25A" w14:textId="77777777" w:rsidR="00887316" w:rsidRPr="00E06F8B" w:rsidRDefault="00887316" w:rsidP="00E06F8B">
            <w:pPr>
              <w:jc w:val="center"/>
            </w:pPr>
            <w:r w:rsidRPr="00E06F8B">
              <w:t>4</w:t>
            </w:r>
          </w:p>
        </w:tc>
      </w:tr>
      <w:tr w:rsidR="00887316" w:rsidRPr="00E06F8B" w14:paraId="18281E49" w14:textId="77777777">
        <w:tc>
          <w:tcPr>
            <w:tcW w:w="4258" w:type="dxa"/>
          </w:tcPr>
          <w:p w14:paraId="5ADFB487" w14:textId="77777777" w:rsidR="00EA4E14" w:rsidRDefault="00EA4E14" w:rsidP="001A5691">
            <w:pPr>
              <w:rPr>
                <w:rFonts w:cs="Times New Roman"/>
                <w:sz w:val="20"/>
                <w:szCs w:val="20"/>
              </w:rPr>
            </w:pPr>
          </w:p>
          <w:p w14:paraId="531D7549" w14:textId="77777777" w:rsidR="00887316" w:rsidRPr="00D11261" w:rsidRDefault="00887316" w:rsidP="001A5691">
            <w:pPr>
              <w:rPr>
                <w:rFonts w:cs="Times New Roman"/>
                <w:i/>
                <w:sz w:val="20"/>
                <w:szCs w:val="20"/>
              </w:rPr>
            </w:pPr>
            <w:r w:rsidRPr="00D11261">
              <w:rPr>
                <w:rFonts w:cs="Times New Roman"/>
                <w:i/>
                <w:sz w:val="20"/>
                <w:szCs w:val="20"/>
              </w:rPr>
              <w:t>Age</w:t>
            </w:r>
          </w:p>
        </w:tc>
        <w:tc>
          <w:tcPr>
            <w:tcW w:w="2129" w:type="dxa"/>
          </w:tcPr>
          <w:p w14:paraId="2C294DFC" w14:textId="77777777" w:rsidR="00887316" w:rsidRPr="00E06F8B" w:rsidRDefault="00887316" w:rsidP="00E06F8B">
            <w:pPr>
              <w:jc w:val="center"/>
            </w:pPr>
          </w:p>
        </w:tc>
        <w:tc>
          <w:tcPr>
            <w:tcW w:w="2129" w:type="dxa"/>
          </w:tcPr>
          <w:p w14:paraId="47A17591" w14:textId="77777777" w:rsidR="00887316" w:rsidRPr="00E06F8B" w:rsidRDefault="00887316" w:rsidP="00E06F8B">
            <w:pPr>
              <w:jc w:val="center"/>
            </w:pPr>
          </w:p>
        </w:tc>
      </w:tr>
      <w:tr w:rsidR="00887316" w:rsidRPr="00E06F8B" w14:paraId="53B869B6" w14:textId="77777777">
        <w:tc>
          <w:tcPr>
            <w:tcW w:w="4258" w:type="dxa"/>
          </w:tcPr>
          <w:p w14:paraId="561E8B7E" w14:textId="77777777" w:rsidR="00887316" w:rsidRPr="00E06F8B" w:rsidRDefault="00887316" w:rsidP="005A2409">
            <w:pPr>
              <w:numPr>
                <w:ilvl w:val="0"/>
                <w:numId w:val="12"/>
              </w:numPr>
              <w:ind w:left="238" w:hanging="238"/>
              <w:rPr>
                <w:sz w:val="20"/>
                <w:szCs w:val="20"/>
              </w:rPr>
            </w:pPr>
            <w:r w:rsidRPr="00E06F8B">
              <w:rPr>
                <w:sz w:val="20"/>
                <w:szCs w:val="20"/>
              </w:rPr>
              <w:t>&lt; 30 years</w:t>
            </w:r>
          </w:p>
        </w:tc>
        <w:tc>
          <w:tcPr>
            <w:tcW w:w="2129" w:type="dxa"/>
          </w:tcPr>
          <w:p w14:paraId="6CDA4AB8" w14:textId="77777777" w:rsidR="00887316" w:rsidRPr="00E06F8B" w:rsidRDefault="00887316" w:rsidP="00E06F8B">
            <w:pPr>
              <w:jc w:val="center"/>
            </w:pPr>
            <w:r w:rsidRPr="00E06F8B">
              <w:t>38</w:t>
            </w:r>
          </w:p>
        </w:tc>
        <w:tc>
          <w:tcPr>
            <w:tcW w:w="2129" w:type="dxa"/>
          </w:tcPr>
          <w:p w14:paraId="0D716EE8" w14:textId="77777777" w:rsidR="00887316" w:rsidRPr="00E06F8B" w:rsidRDefault="00887316" w:rsidP="00E06F8B">
            <w:pPr>
              <w:jc w:val="center"/>
            </w:pPr>
            <w:r w:rsidRPr="00E06F8B">
              <w:t>29</w:t>
            </w:r>
          </w:p>
        </w:tc>
      </w:tr>
      <w:tr w:rsidR="00887316" w:rsidRPr="00E06F8B" w14:paraId="11618A28" w14:textId="77777777">
        <w:tc>
          <w:tcPr>
            <w:tcW w:w="4258" w:type="dxa"/>
          </w:tcPr>
          <w:p w14:paraId="64BC4421" w14:textId="77777777" w:rsidR="00887316" w:rsidRPr="00E06F8B" w:rsidRDefault="00887316" w:rsidP="005A2409">
            <w:pPr>
              <w:numPr>
                <w:ilvl w:val="0"/>
                <w:numId w:val="12"/>
              </w:numPr>
              <w:ind w:left="238" w:hanging="238"/>
              <w:rPr>
                <w:sz w:val="20"/>
                <w:szCs w:val="20"/>
              </w:rPr>
            </w:pPr>
            <w:r w:rsidRPr="00E06F8B">
              <w:rPr>
                <w:sz w:val="20"/>
                <w:szCs w:val="20"/>
              </w:rPr>
              <w:t>31 – 40 years</w:t>
            </w:r>
          </w:p>
        </w:tc>
        <w:tc>
          <w:tcPr>
            <w:tcW w:w="2129" w:type="dxa"/>
          </w:tcPr>
          <w:p w14:paraId="258E9E1A" w14:textId="77777777" w:rsidR="00887316" w:rsidRPr="00E06F8B" w:rsidRDefault="00887316" w:rsidP="00E06F8B">
            <w:pPr>
              <w:jc w:val="center"/>
            </w:pPr>
            <w:r w:rsidRPr="00E06F8B">
              <w:t>75</w:t>
            </w:r>
          </w:p>
        </w:tc>
        <w:tc>
          <w:tcPr>
            <w:tcW w:w="2129" w:type="dxa"/>
          </w:tcPr>
          <w:p w14:paraId="6B540570" w14:textId="77777777" w:rsidR="00887316" w:rsidRPr="00E06F8B" w:rsidRDefault="00887316" w:rsidP="00E06F8B">
            <w:pPr>
              <w:jc w:val="center"/>
            </w:pPr>
            <w:r w:rsidRPr="00E06F8B">
              <w:t>40</w:t>
            </w:r>
          </w:p>
        </w:tc>
      </w:tr>
      <w:tr w:rsidR="00887316" w:rsidRPr="00E06F8B" w14:paraId="37C9528E" w14:textId="77777777">
        <w:tc>
          <w:tcPr>
            <w:tcW w:w="4258" w:type="dxa"/>
          </w:tcPr>
          <w:p w14:paraId="65FDECBB" w14:textId="77777777" w:rsidR="00887316" w:rsidRPr="00E06F8B" w:rsidRDefault="00887316" w:rsidP="005A2409">
            <w:pPr>
              <w:numPr>
                <w:ilvl w:val="0"/>
                <w:numId w:val="12"/>
              </w:numPr>
              <w:ind w:left="238" w:hanging="238"/>
              <w:rPr>
                <w:sz w:val="20"/>
                <w:szCs w:val="20"/>
              </w:rPr>
            </w:pPr>
            <w:r w:rsidRPr="00E06F8B">
              <w:rPr>
                <w:sz w:val="20"/>
                <w:szCs w:val="20"/>
              </w:rPr>
              <w:t>41 – 50 years</w:t>
            </w:r>
          </w:p>
        </w:tc>
        <w:tc>
          <w:tcPr>
            <w:tcW w:w="2129" w:type="dxa"/>
          </w:tcPr>
          <w:p w14:paraId="596FB7B8" w14:textId="77777777" w:rsidR="00887316" w:rsidRPr="00E06F8B" w:rsidRDefault="00887316" w:rsidP="00E06F8B">
            <w:pPr>
              <w:jc w:val="center"/>
            </w:pPr>
            <w:r w:rsidRPr="00E06F8B">
              <w:t>42</w:t>
            </w:r>
          </w:p>
        </w:tc>
        <w:tc>
          <w:tcPr>
            <w:tcW w:w="2129" w:type="dxa"/>
          </w:tcPr>
          <w:p w14:paraId="2DE7FC5D" w14:textId="77777777" w:rsidR="00887316" w:rsidRPr="00E06F8B" w:rsidRDefault="00887316" w:rsidP="00E06F8B">
            <w:pPr>
              <w:jc w:val="center"/>
            </w:pPr>
            <w:r w:rsidRPr="00E06F8B">
              <w:t>34</w:t>
            </w:r>
          </w:p>
        </w:tc>
      </w:tr>
      <w:tr w:rsidR="00887316" w:rsidRPr="00E06F8B" w14:paraId="21641832" w14:textId="77777777">
        <w:tc>
          <w:tcPr>
            <w:tcW w:w="4258" w:type="dxa"/>
          </w:tcPr>
          <w:p w14:paraId="4170D219" w14:textId="77777777" w:rsidR="00887316" w:rsidRPr="00E06F8B" w:rsidRDefault="00887316" w:rsidP="005A2409">
            <w:pPr>
              <w:numPr>
                <w:ilvl w:val="0"/>
                <w:numId w:val="12"/>
              </w:numPr>
              <w:ind w:left="238" w:hanging="238"/>
              <w:rPr>
                <w:sz w:val="20"/>
                <w:szCs w:val="20"/>
              </w:rPr>
            </w:pPr>
            <w:r w:rsidRPr="00E06F8B">
              <w:rPr>
                <w:sz w:val="20"/>
                <w:szCs w:val="20"/>
              </w:rPr>
              <w:t>&gt; 50 years</w:t>
            </w:r>
          </w:p>
        </w:tc>
        <w:tc>
          <w:tcPr>
            <w:tcW w:w="2129" w:type="dxa"/>
          </w:tcPr>
          <w:p w14:paraId="2038F1FC" w14:textId="77777777" w:rsidR="00887316" w:rsidRPr="00E06F8B" w:rsidRDefault="00887316" w:rsidP="00E06F8B">
            <w:pPr>
              <w:jc w:val="center"/>
            </w:pPr>
            <w:r w:rsidRPr="00E06F8B">
              <w:t>14</w:t>
            </w:r>
          </w:p>
        </w:tc>
        <w:tc>
          <w:tcPr>
            <w:tcW w:w="2129" w:type="dxa"/>
          </w:tcPr>
          <w:p w14:paraId="43A80F69" w14:textId="77777777" w:rsidR="00887316" w:rsidRPr="00E06F8B" w:rsidRDefault="00887316" w:rsidP="00E06F8B">
            <w:pPr>
              <w:jc w:val="center"/>
            </w:pPr>
            <w:r w:rsidRPr="00E06F8B">
              <w:t>14</w:t>
            </w:r>
          </w:p>
        </w:tc>
      </w:tr>
      <w:tr w:rsidR="00887316" w:rsidRPr="00E06F8B" w14:paraId="3DF34441" w14:textId="77777777">
        <w:tc>
          <w:tcPr>
            <w:tcW w:w="4258" w:type="dxa"/>
          </w:tcPr>
          <w:p w14:paraId="180102F8" w14:textId="77777777" w:rsidR="00EA4E14" w:rsidRPr="00D11261" w:rsidRDefault="00EA4E14" w:rsidP="001A5691">
            <w:pPr>
              <w:rPr>
                <w:rFonts w:cs="Times New Roman"/>
                <w:i/>
                <w:sz w:val="20"/>
                <w:szCs w:val="20"/>
              </w:rPr>
            </w:pPr>
          </w:p>
          <w:p w14:paraId="79DB9E89" w14:textId="77777777" w:rsidR="00887316" w:rsidRPr="00D11261" w:rsidRDefault="00887316" w:rsidP="001A5691">
            <w:pPr>
              <w:rPr>
                <w:rFonts w:cs="Times New Roman"/>
                <w:i/>
                <w:sz w:val="20"/>
                <w:szCs w:val="20"/>
              </w:rPr>
            </w:pPr>
            <w:r w:rsidRPr="00D11261">
              <w:rPr>
                <w:rFonts w:cs="Times New Roman"/>
                <w:i/>
                <w:sz w:val="20"/>
                <w:szCs w:val="20"/>
              </w:rPr>
              <w:t>Experience in science teaching</w:t>
            </w:r>
          </w:p>
        </w:tc>
        <w:tc>
          <w:tcPr>
            <w:tcW w:w="2129" w:type="dxa"/>
          </w:tcPr>
          <w:p w14:paraId="795DE1AE" w14:textId="77777777" w:rsidR="00887316" w:rsidRPr="00E06F8B" w:rsidRDefault="00887316" w:rsidP="00E06F8B">
            <w:pPr>
              <w:jc w:val="center"/>
            </w:pPr>
          </w:p>
        </w:tc>
        <w:tc>
          <w:tcPr>
            <w:tcW w:w="2129" w:type="dxa"/>
          </w:tcPr>
          <w:p w14:paraId="21A7D06A" w14:textId="77777777" w:rsidR="00887316" w:rsidRPr="00E06F8B" w:rsidRDefault="00887316" w:rsidP="00E06F8B">
            <w:pPr>
              <w:jc w:val="center"/>
            </w:pPr>
          </w:p>
        </w:tc>
      </w:tr>
      <w:tr w:rsidR="00887316" w:rsidRPr="00E06F8B" w14:paraId="5B729681" w14:textId="77777777">
        <w:tc>
          <w:tcPr>
            <w:tcW w:w="4258" w:type="dxa"/>
          </w:tcPr>
          <w:p w14:paraId="388E51F9" w14:textId="77777777" w:rsidR="00887316" w:rsidRPr="00E06F8B" w:rsidRDefault="00887316" w:rsidP="005A2409">
            <w:pPr>
              <w:numPr>
                <w:ilvl w:val="0"/>
                <w:numId w:val="12"/>
              </w:numPr>
              <w:ind w:left="238" w:hanging="238"/>
              <w:rPr>
                <w:sz w:val="20"/>
                <w:szCs w:val="20"/>
              </w:rPr>
            </w:pPr>
            <w:r w:rsidRPr="00E06F8B">
              <w:rPr>
                <w:sz w:val="20"/>
                <w:szCs w:val="20"/>
              </w:rPr>
              <w:t>&lt; 10 years</w:t>
            </w:r>
          </w:p>
        </w:tc>
        <w:tc>
          <w:tcPr>
            <w:tcW w:w="2129" w:type="dxa"/>
          </w:tcPr>
          <w:p w14:paraId="46EB8790" w14:textId="77777777" w:rsidR="00887316" w:rsidRPr="00E06F8B" w:rsidRDefault="00887316" w:rsidP="00E06F8B">
            <w:pPr>
              <w:jc w:val="center"/>
            </w:pPr>
            <w:r w:rsidRPr="00E06F8B">
              <w:t>39</w:t>
            </w:r>
          </w:p>
        </w:tc>
        <w:tc>
          <w:tcPr>
            <w:tcW w:w="2129" w:type="dxa"/>
          </w:tcPr>
          <w:p w14:paraId="54BC6B70" w14:textId="77777777" w:rsidR="00887316" w:rsidRPr="00E06F8B" w:rsidRDefault="00887316" w:rsidP="00E06F8B">
            <w:pPr>
              <w:jc w:val="center"/>
            </w:pPr>
            <w:r w:rsidRPr="00E06F8B">
              <w:t>53</w:t>
            </w:r>
          </w:p>
        </w:tc>
      </w:tr>
      <w:tr w:rsidR="00887316" w:rsidRPr="00E06F8B" w14:paraId="3738EE3B" w14:textId="77777777">
        <w:tc>
          <w:tcPr>
            <w:tcW w:w="4258" w:type="dxa"/>
          </w:tcPr>
          <w:p w14:paraId="5604C581" w14:textId="77777777" w:rsidR="00887316" w:rsidRPr="00E06F8B" w:rsidRDefault="00887316" w:rsidP="005A2409">
            <w:pPr>
              <w:numPr>
                <w:ilvl w:val="0"/>
                <w:numId w:val="12"/>
              </w:numPr>
              <w:ind w:left="238" w:hanging="238"/>
              <w:rPr>
                <w:sz w:val="20"/>
                <w:szCs w:val="20"/>
              </w:rPr>
            </w:pPr>
            <w:r w:rsidRPr="00E06F8B">
              <w:rPr>
                <w:sz w:val="20"/>
                <w:szCs w:val="20"/>
              </w:rPr>
              <w:t>11 – 20 years</w:t>
            </w:r>
          </w:p>
        </w:tc>
        <w:tc>
          <w:tcPr>
            <w:tcW w:w="2129" w:type="dxa"/>
          </w:tcPr>
          <w:p w14:paraId="1019BC42" w14:textId="77777777" w:rsidR="00887316" w:rsidRPr="00E06F8B" w:rsidRDefault="00887316" w:rsidP="00E06F8B">
            <w:pPr>
              <w:jc w:val="center"/>
            </w:pPr>
            <w:r w:rsidRPr="00E06F8B">
              <w:t>90</w:t>
            </w:r>
          </w:p>
        </w:tc>
        <w:tc>
          <w:tcPr>
            <w:tcW w:w="2129" w:type="dxa"/>
          </w:tcPr>
          <w:p w14:paraId="4657F403" w14:textId="77777777" w:rsidR="00887316" w:rsidRPr="00E06F8B" w:rsidRDefault="00887316" w:rsidP="00E06F8B">
            <w:pPr>
              <w:jc w:val="center"/>
            </w:pPr>
            <w:r w:rsidRPr="00E06F8B">
              <w:t>57</w:t>
            </w:r>
          </w:p>
        </w:tc>
      </w:tr>
      <w:tr w:rsidR="00887316" w:rsidRPr="00E06F8B" w14:paraId="14E279B9" w14:textId="77777777">
        <w:tc>
          <w:tcPr>
            <w:tcW w:w="4258" w:type="dxa"/>
          </w:tcPr>
          <w:p w14:paraId="1E1830CA" w14:textId="77777777" w:rsidR="00887316" w:rsidRPr="00E06F8B" w:rsidRDefault="00887316" w:rsidP="005A2409">
            <w:pPr>
              <w:numPr>
                <w:ilvl w:val="0"/>
                <w:numId w:val="12"/>
              </w:numPr>
              <w:ind w:left="238" w:hanging="238"/>
              <w:rPr>
                <w:sz w:val="20"/>
                <w:szCs w:val="20"/>
              </w:rPr>
            </w:pPr>
            <w:r w:rsidRPr="00E06F8B">
              <w:rPr>
                <w:sz w:val="20"/>
                <w:szCs w:val="20"/>
              </w:rPr>
              <w:t>&gt; 20 years</w:t>
            </w:r>
          </w:p>
        </w:tc>
        <w:tc>
          <w:tcPr>
            <w:tcW w:w="2129" w:type="dxa"/>
          </w:tcPr>
          <w:p w14:paraId="211489AE" w14:textId="77777777" w:rsidR="00887316" w:rsidRPr="00E06F8B" w:rsidRDefault="00887316" w:rsidP="00E06F8B">
            <w:pPr>
              <w:jc w:val="center"/>
            </w:pPr>
            <w:r w:rsidRPr="00E06F8B">
              <w:t>37</w:t>
            </w:r>
          </w:p>
        </w:tc>
        <w:tc>
          <w:tcPr>
            <w:tcW w:w="2129" w:type="dxa"/>
          </w:tcPr>
          <w:p w14:paraId="2BF298F3" w14:textId="77777777" w:rsidR="00887316" w:rsidRPr="00E06F8B" w:rsidRDefault="00887316" w:rsidP="00E06F8B">
            <w:pPr>
              <w:jc w:val="center"/>
            </w:pPr>
            <w:r w:rsidRPr="00E06F8B">
              <w:t>11</w:t>
            </w:r>
          </w:p>
        </w:tc>
      </w:tr>
      <w:tr w:rsidR="00887316" w:rsidRPr="00E06F8B" w14:paraId="5BD0C961" w14:textId="77777777">
        <w:tc>
          <w:tcPr>
            <w:tcW w:w="4258" w:type="dxa"/>
          </w:tcPr>
          <w:p w14:paraId="4F6460B5" w14:textId="77777777" w:rsidR="00887316" w:rsidRPr="00E06F8B" w:rsidRDefault="00887316" w:rsidP="005A2409">
            <w:pPr>
              <w:numPr>
                <w:ilvl w:val="0"/>
                <w:numId w:val="12"/>
              </w:numPr>
              <w:ind w:left="238" w:hanging="238"/>
              <w:rPr>
                <w:sz w:val="20"/>
                <w:szCs w:val="20"/>
              </w:rPr>
            </w:pPr>
            <w:r w:rsidRPr="00E06F8B">
              <w:rPr>
                <w:sz w:val="20"/>
                <w:szCs w:val="20"/>
              </w:rPr>
              <w:t>No data</w:t>
            </w:r>
          </w:p>
        </w:tc>
        <w:tc>
          <w:tcPr>
            <w:tcW w:w="2129" w:type="dxa"/>
          </w:tcPr>
          <w:p w14:paraId="58DEE9ED" w14:textId="77777777" w:rsidR="00887316" w:rsidRPr="00E06F8B" w:rsidRDefault="00887316" w:rsidP="00E06F8B">
            <w:pPr>
              <w:jc w:val="center"/>
            </w:pPr>
            <w:r w:rsidRPr="00E06F8B">
              <w:t>13</w:t>
            </w:r>
          </w:p>
        </w:tc>
        <w:tc>
          <w:tcPr>
            <w:tcW w:w="2129" w:type="dxa"/>
          </w:tcPr>
          <w:p w14:paraId="7AC111B2" w14:textId="77777777" w:rsidR="00887316" w:rsidRPr="00E06F8B" w:rsidRDefault="00887316" w:rsidP="00E06F8B">
            <w:pPr>
              <w:jc w:val="center"/>
            </w:pPr>
            <w:r w:rsidRPr="00E06F8B">
              <w:t>5</w:t>
            </w:r>
          </w:p>
        </w:tc>
      </w:tr>
      <w:tr w:rsidR="00887316" w:rsidRPr="00E06F8B" w14:paraId="5BE4DB43" w14:textId="77777777">
        <w:tc>
          <w:tcPr>
            <w:tcW w:w="4258" w:type="dxa"/>
          </w:tcPr>
          <w:p w14:paraId="73CA87D8" w14:textId="77777777" w:rsidR="00EA4E14" w:rsidRPr="00D11261" w:rsidRDefault="00EA4E14" w:rsidP="001A5691">
            <w:pPr>
              <w:rPr>
                <w:rFonts w:cs="Times New Roman"/>
                <w:i/>
                <w:sz w:val="20"/>
                <w:szCs w:val="20"/>
              </w:rPr>
            </w:pPr>
          </w:p>
          <w:p w14:paraId="3BCA621B" w14:textId="77777777" w:rsidR="00887316" w:rsidRPr="00D11261" w:rsidRDefault="00887316" w:rsidP="001A5691">
            <w:pPr>
              <w:rPr>
                <w:rFonts w:cs="Times New Roman"/>
                <w:i/>
                <w:sz w:val="20"/>
                <w:szCs w:val="20"/>
              </w:rPr>
            </w:pPr>
            <w:r w:rsidRPr="00D11261">
              <w:rPr>
                <w:rFonts w:cs="Times New Roman"/>
                <w:i/>
                <w:sz w:val="20"/>
                <w:szCs w:val="20"/>
              </w:rPr>
              <w:t>Postsecondary degree</w:t>
            </w:r>
          </w:p>
        </w:tc>
        <w:tc>
          <w:tcPr>
            <w:tcW w:w="2129" w:type="dxa"/>
          </w:tcPr>
          <w:p w14:paraId="5E226A5E" w14:textId="77777777" w:rsidR="00887316" w:rsidRPr="00E06F8B" w:rsidRDefault="00887316" w:rsidP="00E06F8B">
            <w:pPr>
              <w:jc w:val="center"/>
            </w:pPr>
          </w:p>
        </w:tc>
        <w:tc>
          <w:tcPr>
            <w:tcW w:w="2129" w:type="dxa"/>
          </w:tcPr>
          <w:p w14:paraId="695779B4" w14:textId="77777777" w:rsidR="00887316" w:rsidRPr="00E06F8B" w:rsidRDefault="00887316" w:rsidP="00E06F8B">
            <w:pPr>
              <w:jc w:val="center"/>
            </w:pPr>
          </w:p>
        </w:tc>
      </w:tr>
      <w:tr w:rsidR="00887316" w:rsidRPr="00E06F8B" w14:paraId="73241375" w14:textId="77777777">
        <w:tc>
          <w:tcPr>
            <w:tcW w:w="4258" w:type="dxa"/>
          </w:tcPr>
          <w:p w14:paraId="75BC7041" w14:textId="77777777" w:rsidR="00887316" w:rsidRPr="00E06F8B" w:rsidRDefault="00887316" w:rsidP="005A2409">
            <w:pPr>
              <w:numPr>
                <w:ilvl w:val="0"/>
                <w:numId w:val="12"/>
              </w:numPr>
              <w:ind w:left="238" w:hanging="238"/>
              <w:rPr>
                <w:sz w:val="20"/>
                <w:szCs w:val="20"/>
              </w:rPr>
            </w:pPr>
            <w:r w:rsidRPr="00E06F8B">
              <w:rPr>
                <w:sz w:val="20"/>
                <w:szCs w:val="20"/>
              </w:rPr>
              <w:t>Bachelor of Elementary Education</w:t>
            </w:r>
          </w:p>
        </w:tc>
        <w:tc>
          <w:tcPr>
            <w:tcW w:w="2129" w:type="dxa"/>
          </w:tcPr>
          <w:p w14:paraId="592B626D" w14:textId="77777777" w:rsidR="00887316" w:rsidRPr="00E06F8B" w:rsidRDefault="00887316" w:rsidP="00E06F8B">
            <w:pPr>
              <w:jc w:val="center"/>
            </w:pPr>
            <w:r w:rsidRPr="00E06F8B">
              <w:t>174</w:t>
            </w:r>
          </w:p>
        </w:tc>
        <w:tc>
          <w:tcPr>
            <w:tcW w:w="2129" w:type="dxa"/>
          </w:tcPr>
          <w:p w14:paraId="706BD054" w14:textId="77777777" w:rsidR="00887316" w:rsidRPr="00E06F8B" w:rsidRDefault="00887316" w:rsidP="00E06F8B">
            <w:pPr>
              <w:jc w:val="center"/>
            </w:pPr>
            <w:r w:rsidRPr="00E06F8B">
              <w:t>0</w:t>
            </w:r>
          </w:p>
        </w:tc>
      </w:tr>
      <w:tr w:rsidR="00887316" w:rsidRPr="00E06F8B" w14:paraId="6CD2C761" w14:textId="77777777">
        <w:tc>
          <w:tcPr>
            <w:tcW w:w="4258" w:type="dxa"/>
          </w:tcPr>
          <w:p w14:paraId="4A0B73E7" w14:textId="77777777" w:rsidR="00887316" w:rsidRPr="00E06F8B" w:rsidRDefault="00887316" w:rsidP="005A2409">
            <w:pPr>
              <w:numPr>
                <w:ilvl w:val="0"/>
                <w:numId w:val="12"/>
              </w:numPr>
              <w:ind w:left="238" w:hanging="238"/>
              <w:rPr>
                <w:sz w:val="20"/>
                <w:szCs w:val="20"/>
              </w:rPr>
            </w:pPr>
            <w:r w:rsidRPr="00E06F8B">
              <w:rPr>
                <w:sz w:val="20"/>
                <w:szCs w:val="20"/>
              </w:rPr>
              <w:t>Bachelor of Secondary Education</w:t>
            </w:r>
          </w:p>
        </w:tc>
        <w:tc>
          <w:tcPr>
            <w:tcW w:w="2129" w:type="dxa"/>
          </w:tcPr>
          <w:p w14:paraId="346A3D42" w14:textId="77777777" w:rsidR="00887316" w:rsidRPr="00E06F8B" w:rsidRDefault="00887316" w:rsidP="00E06F8B">
            <w:pPr>
              <w:jc w:val="center"/>
            </w:pPr>
            <w:r w:rsidRPr="00E06F8B">
              <w:t>0</w:t>
            </w:r>
          </w:p>
        </w:tc>
        <w:tc>
          <w:tcPr>
            <w:tcW w:w="2129" w:type="dxa"/>
          </w:tcPr>
          <w:p w14:paraId="6ABCECBC" w14:textId="77777777" w:rsidR="00887316" w:rsidRPr="00E06F8B" w:rsidRDefault="00887316" w:rsidP="00E06F8B">
            <w:pPr>
              <w:jc w:val="center"/>
            </w:pPr>
            <w:r w:rsidRPr="00E06F8B">
              <w:t>102</w:t>
            </w:r>
          </w:p>
        </w:tc>
      </w:tr>
      <w:tr w:rsidR="00887316" w:rsidRPr="00E06F8B" w14:paraId="325EA5F9" w14:textId="77777777">
        <w:tc>
          <w:tcPr>
            <w:tcW w:w="4258" w:type="dxa"/>
          </w:tcPr>
          <w:p w14:paraId="6D37C155" w14:textId="77777777" w:rsidR="00887316" w:rsidRPr="00E06F8B" w:rsidRDefault="00887316" w:rsidP="005A2409">
            <w:pPr>
              <w:numPr>
                <w:ilvl w:val="0"/>
                <w:numId w:val="12"/>
              </w:numPr>
              <w:ind w:left="238" w:hanging="238"/>
              <w:rPr>
                <w:sz w:val="20"/>
                <w:szCs w:val="20"/>
              </w:rPr>
            </w:pPr>
            <w:r w:rsidRPr="00E06F8B">
              <w:rPr>
                <w:sz w:val="20"/>
                <w:szCs w:val="20"/>
              </w:rPr>
              <w:t>Bachelor of Science</w:t>
            </w:r>
          </w:p>
        </w:tc>
        <w:tc>
          <w:tcPr>
            <w:tcW w:w="2129" w:type="dxa"/>
          </w:tcPr>
          <w:p w14:paraId="0F00C5B4" w14:textId="77777777" w:rsidR="00887316" w:rsidRPr="00E06F8B" w:rsidRDefault="00887316" w:rsidP="00E06F8B">
            <w:pPr>
              <w:jc w:val="center"/>
            </w:pPr>
            <w:r w:rsidRPr="00E06F8B">
              <w:t>5</w:t>
            </w:r>
          </w:p>
        </w:tc>
        <w:tc>
          <w:tcPr>
            <w:tcW w:w="2129" w:type="dxa"/>
          </w:tcPr>
          <w:p w14:paraId="2BAD4C8E" w14:textId="77777777" w:rsidR="00887316" w:rsidRPr="00E06F8B" w:rsidRDefault="00887316" w:rsidP="00E06F8B">
            <w:pPr>
              <w:jc w:val="center"/>
            </w:pPr>
            <w:r w:rsidRPr="00E06F8B">
              <w:t>24</w:t>
            </w:r>
          </w:p>
        </w:tc>
      </w:tr>
      <w:tr w:rsidR="00887316" w:rsidRPr="00E06F8B" w14:paraId="7A3E7111" w14:textId="77777777">
        <w:tc>
          <w:tcPr>
            <w:tcW w:w="4258" w:type="dxa"/>
          </w:tcPr>
          <w:p w14:paraId="741218BF" w14:textId="77777777" w:rsidR="00EA4E14" w:rsidRPr="00D11261" w:rsidRDefault="00EA4E14" w:rsidP="001A5691">
            <w:pPr>
              <w:rPr>
                <w:rFonts w:cs="Times New Roman"/>
                <w:i/>
                <w:sz w:val="20"/>
                <w:szCs w:val="20"/>
              </w:rPr>
            </w:pPr>
          </w:p>
          <w:p w14:paraId="754C48AD" w14:textId="77777777" w:rsidR="00887316" w:rsidRPr="00D11261" w:rsidRDefault="00887316" w:rsidP="001A5691">
            <w:pPr>
              <w:rPr>
                <w:rFonts w:cs="Times New Roman"/>
                <w:i/>
                <w:sz w:val="20"/>
                <w:szCs w:val="20"/>
              </w:rPr>
            </w:pPr>
            <w:r w:rsidRPr="00D11261">
              <w:rPr>
                <w:rFonts w:cs="Times New Roman"/>
                <w:i/>
                <w:sz w:val="20"/>
                <w:szCs w:val="20"/>
              </w:rPr>
              <w:t>Postsecondary major/specialization</w:t>
            </w:r>
          </w:p>
        </w:tc>
        <w:tc>
          <w:tcPr>
            <w:tcW w:w="2129" w:type="dxa"/>
          </w:tcPr>
          <w:p w14:paraId="0A8D0744" w14:textId="77777777" w:rsidR="00887316" w:rsidRPr="00E06F8B" w:rsidRDefault="00887316" w:rsidP="00E06F8B">
            <w:pPr>
              <w:jc w:val="center"/>
            </w:pPr>
          </w:p>
        </w:tc>
        <w:tc>
          <w:tcPr>
            <w:tcW w:w="2129" w:type="dxa"/>
          </w:tcPr>
          <w:p w14:paraId="5F5C7D44" w14:textId="77777777" w:rsidR="00887316" w:rsidRPr="00E06F8B" w:rsidRDefault="00887316" w:rsidP="00E06F8B">
            <w:pPr>
              <w:jc w:val="center"/>
            </w:pPr>
          </w:p>
        </w:tc>
      </w:tr>
      <w:tr w:rsidR="00887316" w:rsidRPr="00E06F8B" w14:paraId="603836E4" w14:textId="77777777">
        <w:tc>
          <w:tcPr>
            <w:tcW w:w="4258" w:type="dxa"/>
          </w:tcPr>
          <w:p w14:paraId="4884916F" w14:textId="77777777" w:rsidR="00887316" w:rsidRPr="00E06F8B" w:rsidRDefault="00887316" w:rsidP="005A2409">
            <w:pPr>
              <w:numPr>
                <w:ilvl w:val="0"/>
                <w:numId w:val="13"/>
              </w:numPr>
              <w:ind w:left="238" w:hanging="238"/>
              <w:rPr>
                <w:sz w:val="20"/>
                <w:szCs w:val="20"/>
              </w:rPr>
            </w:pPr>
            <w:r w:rsidRPr="00E06F8B">
              <w:rPr>
                <w:sz w:val="20"/>
                <w:szCs w:val="20"/>
              </w:rPr>
              <w:t xml:space="preserve">Science </w:t>
            </w:r>
          </w:p>
        </w:tc>
        <w:tc>
          <w:tcPr>
            <w:tcW w:w="2129" w:type="dxa"/>
          </w:tcPr>
          <w:p w14:paraId="20CC3DB2" w14:textId="77777777" w:rsidR="00887316" w:rsidRPr="00E06F8B" w:rsidRDefault="00887316" w:rsidP="00E06F8B">
            <w:pPr>
              <w:jc w:val="center"/>
            </w:pPr>
            <w:r w:rsidRPr="00E06F8B">
              <w:t>45</w:t>
            </w:r>
          </w:p>
        </w:tc>
        <w:tc>
          <w:tcPr>
            <w:tcW w:w="2129" w:type="dxa"/>
          </w:tcPr>
          <w:p w14:paraId="56679E7E" w14:textId="77777777" w:rsidR="00887316" w:rsidRPr="00E06F8B" w:rsidRDefault="00887316" w:rsidP="00E06F8B">
            <w:pPr>
              <w:jc w:val="center"/>
            </w:pPr>
            <w:r w:rsidRPr="00E06F8B">
              <w:t>60</w:t>
            </w:r>
          </w:p>
        </w:tc>
      </w:tr>
      <w:tr w:rsidR="00887316" w:rsidRPr="00E06F8B" w14:paraId="583CD7AB" w14:textId="77777777">
        <w:tc>
          <w:tcPr>
            <w:tcW w:w="4258" w:type="dxa"/>
          </w:tcPr>
          <w:p w14:paraId="679EB0FA" w14:textId="77777777" w:rsidR="00887316" w:rsidRPr="00E06F8B" w:rsidRDefault="00887316" w:rsidP="005A2409">
            <w:pPr>
              <w:numPr>
                <w:ilvl w:val="0"/>
                <w:numId w:val="13"/>
              </w:numPr>
              <w:ind w:left="238" w:hanging="238"/>
              <w:rPr>
                <w:sz w:val="20"/>
                <w:szCs w:val="20"/>
              </w:rPr>
            </w:pPr>
            <w:r w:rsidRPr="00E06F8B">
              <w:rPr>
                <w:sz w:val="20"/>
                <w:szCs w:val="20"/>
              </w:rPr>
              <w:t>Non-science</w:t>
            </w:r>
          </w:p>
        </w:tc>
        <w:tc>
          <w:tcPr>
            <w:tcW w:w="2129" w:type="dxa"/>
          </w:tcPr>
          <w:p w14:paraId="4DF85317" w14:textId="77777777" w:rsidR="00887316" w:rsidRPr="00E06F8B" w:rsidRDefault="00887316" w:rsidP="00E06F8B">
            <w:pPr>
              <w:jc w:val="center"/>
            </w:pPr>
            <w:r w:rsidRPr="00E06F8B">
              <w:t>110</w:t>
            </w:r>
          </w:p>
        </w:tc>
        <w:tc>
          <w:tcPr>
            <w:tcW w:w="2129" w:type="dxa"/>
          </w:tcPr>
          <w:p w14:paraId="4A988540" w14:textId="77777777" w:rsidR="00887316" w:rsidRPr="00E06F8B" w:rsidRDefault="00887316" w:rsidP="00E06F8B">
            <w:pPr>
              <w:jc w:val="center"/>
            </w:pPr>
            <w:r w:rsidRPr="00E06F8B">
              <w:t>66</w:t>
            </w:r>
          </w:p>
        </w:tc>
      </w:tr>
      <w:tr w:rsidR="00887316" w:rsidRPr="00E06F8B" w14:paraId="07584EC0" w14:textId="77777777">
        <w:tc>
          <w:tcPr>
            <w:tcW w:w="4258" w:type="dxa"/>
            <w:tcBorders>
              <w:bottom w:val="single" w:sz="4" w:space="0" w:color="auto"/>
            </w:tcBorders>
          </w:tcPr>
          <w:p w14:paraId="312A98C8" w14:textId="77777777" w:rsidR="00887316" w:rsidRPr="00E06F8B" w:rsidRDefault="00887316" w:rsidP="005A2409">
            <w:pPr>
              <w:numPr>
                <w:ilvl w:val="0"/>
                <w:numId w:val="13"/>
              </w:numPr>
              <w:ind w:left="238" w:hanging="238"/>
              <w:rPr>
                <w:sz w:val="20"/>
                <w:szCs w:val="20"/>
              </w:rPr>
            </w:pPr>
            <w:r w:rsidRPr="00E06F8B">
              <w:rPr>
                <w:sz w:val="20"/>
                <w:szCs w:val="20"/>
              </w:rPr>
              <w:t>No specialization</w:t>
            </w:r>
          </w:p>
        </w:tc>
        <w:tc>
          <w:tcPr>
            <w:tcW w:w="2129" w:type="dxa"/>
            <w:tcBorders>
              <w:bottom w:val="single" w:sz="4" w:space="0" w:color="auto"/>
            </w:tcBorders>
          </w:tcPr>
          <w:p w14:paraId="4A340C71" w14:textId="77777777" w:rsidR="00887316" w:rsidRPr="00E06F8B" w:rsidRDefault="00887316" w:rsidP="00E06F8B">
            <w:pPr>
              <w:jc w:val="center"/>
            </w:pPr>
            <w:r w:rsidRPr="00E06F8B">
              <w:t>24</w:t>
            </w:r>
          </w:p>
        </w:tc>
        <w:tc>
          <w:tcPr>
            <w:tcW w:w="2129" w:type="dxa"/>
            <w:tcBorders>
              <w:bottom w:val="single" w:sz="4" w:space="0" w:color="auto"/>
            </w:tcBorders>
          </w:tcPr>
          <w:p w14:paraId="49CE3872" w14:textId="77777777" w:rsidR="00887316" w:rsidRPr="00E06F8B" w:rsidRDefault="00887316" w:rsidP="00E06F8B">
            <w:pPr>
              <w:jc w:val="center"/>
            </w:pPr>
            <w:r w:rsidRPr="00E06F8B">
              <w:t>0</w:t>
            </w:r>
          </w:p>
        </w:tc>
      </w:tr>
    </w:tbl>
    <w:p w14:paraId="61D1CD5A" w14:textId="77777777" w:rsidR="007D04A1" w:rsidRPr="00E06F8B" w:rsidRDefault="007D04A1" w:rsidP="00E41DCE">
      <w:pPr>
        <w:pStyle w:val="Heading1"/>
      </w:pPr>
      <w:r w:rsidRPr="00E06F8B">
        <w:lastRenderedPageBreak/>
        <w:t>Instrument</w:t>
      </w:r>
    </w:p>
    <w:p w14:paraId="48BFD8FA" w14:textId="77777777" w:rsidR="007D04A1" w:rsidRPr="00E06F8B" w:rsidRDefault="007D04A1" w:rsidP="00E41DCE">
      <w:r w:rsidRPr="00E06F8B">
        <w:t>A questionnaire was developed to assess different pedagogical beliefs and to obtain information about the educational and demographic background of the science teachers.</w:t>
      </w:r>
      <w:r w:rsidR="00DE3647">
        <w:t xml:space="preserve"> </w:t>
      </w:r>
      <w:r w:rsidRPr="00E06F8B">
        <w:t xml:space="preserve">Different scales were developed by the researchers to assess the different dimensions of pedagogical beliefs. </w:t>
      </w:r>
    </w:p>
    <w:p w14:paraId="02F3BC26" w14:textId="77777777" w:rsidR="00730321" w:rsidRDefault="007D04A1" w:rsidP="00730321">
      <w:pPr>
        <w:pStyle w:val="Heading2"/>
      </w:pPr>
      <w:r w:rsidRPr="00E06F8B">
        <w:t>Beliefs about teaching scales</w:t>
      </w:r>
    </w:p>
    <w:p w14:paraId="5B85C2AA" w14:textId="77777777" w:rsidR="007D04A1" w:rsidRPr="00E06F8B" w:rsidRDefault="007D04A1" w:rsidP="00730321">
      <w:r w:rsidRPr="00E06F8B">
        <w:t>To assess beliefs on the two models of teaching, 12 items were created.</w:t>
      </w:r>
      <w:r w:rsidR="00DE3647">
        <w:t xml:space="preserve"> </w:t>
      </w:r>
      <w:r w:rsidRPr="00E06F8B">
        <w:t>The items were drawn from the propositions specified by Larkin (2000) in contrasting between the broadcast and learning-support models of teac</w:t>
      </w:r>
      <w:r w:rsidRPr="00E06F8B">
        <w:t>h</w:t>
      </w:r>
      <w:r w:rsidRPr="00E06F8B">
        <w:t>ing.</w:t>
      </w:r>
      <w:r w:rsidR="00DE3647">
        <w:t xml:space="preserve"> </w:t>
      </w:r>
      <w:r w:rsidRPr="00E06F8B">
        <w:t>The initial draft set of items were reviewed by an science education professor who had no knowledge of the research questions or hypothesis, but who was given detailed explanations regarding the two models a</w:t>
      </w:r>
      <w:r w:rsidRPr="00E06F8B">
        <w:t>c</w:t>
      </w:r>
      <w:r w:rsidRPr="00E06F8B">
        <w:t>cording to Larkin (2000).</w:t>
      </w:r>
      <w:r w:rsidR="00DE3647">
        <w:t xml:space="preserve"> </w:t>
      </w:r>
      <w:r w:rsidRPr="00E06F8B">
        <w:t>This reviewer evaluated whether the items were consistent with the specifications of the two models and suggestion only minor revisions in the wording of the items.</w:t>
      </w:r>
      <w:r w:rsidR="00DE3647">
        <w:t xml:space="preserve"> </w:t>
      </w:r>
      <w:r w:rsidRPr="00E06F8B">
        <w:t>Six items assessed belief about teaching as broadcasting (e.g.,</w:t>
      </w:r>
      <w:r w:rsidR="000E4CF5">
        <w:t xml:space="preserve"> </w:t>
      </w:r>
      <w:r w:rsidRPr="00E06F8B">
        <w:t>“The</w:t>
      </w:r>
      <w:r w:rsidR="000E4CF5">
        <w:t xml:space="preserve"> </w:t>
      </w:r>
      <w:r w:rsidRPr="00E06F8B">
        <w:t>primary</w:t>
      </w:r>
      <w:r w:rsidR="000E4CF5">
        <w:t xml:space="preserve"> </w:t>
      </w:r>
      <w:r w:rsidRPr="00E06F8B">
        <w:t>goal</w:t>
      </w:r>
      <w:r w:rsidR="000E4CF5">
        <w:t xml:space="preserve"> of science teac</w:t>
      </w:r>
      <w:r w:rsidR="000E4CF5">
        <w:t>h</w:t>
      </w:r>
      <w:r w:rsidR="000E4CF5">
        <w:t xml:space="preserve">ers is to tell students </w:t>
      </w:r>
      <w:r w:rsidRPr="00E06F8B">
        <w:t>scientific</w:t>
      </w:r>
      <w:r w:rsidR="000E4CF5">
        <w:t xml:space="preserve"> </w:t>
      </w:r>
      <w:r w:rsidRPr="00E06F8B">
        <w:t>facts,</w:t>
      </w:r>
      <w:r w:rsidR="000E4CF5">
        <w:t xml:space="preserve"> </w:t>
      </w:r>
      <w:r w:rsidRPr="00E06F8B">
        <w:t>principles</w:t>
      </w:r>
      <w:r w:rsidR="000E4CF5">
        <w:t xml:space="preserve"> </w:t>
      </w:r>
      <w:r w:rsidRPr="00E06F8B">
        <w:t>and</w:t>
      </w:r>
      <w:r w:rsidR="000E4CF5">
        <w:t xml:space="preserve"> </w:t>
      </w:r>
      <w:r w:rsidRPr="00E06F8B">
        <w:t>procedures”,</w:t>
      </w:r>
      <w:r w:rsidR="000E4CF5">
        <w:t xml:space="preserve"> </w:t>
      </w:r>
      <w:proofErr w:type="spellStart"/>
      <w:r w:rsidRPr="00E06F8B">
        <w:t>Cronbach</w:t>
      </w:r>
      <w:proofErr w:type="spellEnd"/>
      <w:r w:rsidR="000E4CF5">
        <w:t xml:space="preserve"> </w:t>
      </w:r>
      <w:r w:rsidRPr="00E06F8B">
        <w:sym w:font="Symbol" w:char="F061"/>
      </w:r>
      <w:r w:rsidR="000E4CF5">
        <w:t xml:space="preserve"> </w:t>
      </w:r>
      <w:r w:rsidR="009C01C8">
        <w:t>= 0.</w:t>
      </w:r>
      <w:r w:rsidRPr="00E06F8B">
        <w:t>79),</w:t>
      </w:r>
      <w:r w:rsidR="000E4CF5">
        <w:t xml:space="preserve"> </w:t>
      </w:r>
      <w:r w:rsidRPr="00E06F8B">
        <w:t>and</w:t>
      </w:r>
      <w:r w:rsidR="000E4CF5">
        <w:t xml:space="preserve"> </w:t>
      </w:r>
      <w:r w:rsidRPr="00E06F8B">
        <w:t>the</w:t>
      </w:r>
      <w:r w:rsidR="000E4CF5">
        <w:t xml:space="preserve"> </w:t>
      </w:r>
      <w:r w:rsidRPr="00E06F8B">
        <w:t>remaining</w:t>
      </w:r>
      <w:r w:rsidR="000E4CF5">
        <w:t xml:space="preserve"> </w:t>
      </w:r>
      <w:r w:rsidRPr="00E06F8B">
        <w:t>6</w:t>
      </w:r>
      <w:r w:rsidR="000E4CF5">
        <w:t xml:space="preserve"> </w:t>
      </w:r>
      <w:r w:rsidRPr="00E06F8B">
        <w:t>items</w:t>
      </w:r>
      <w:r w:rsidR="000E4CF5">
        <w:t xml:space="preserve"> </w:t>
      </w:r>
      <w:r w:rsidRPr="00E06F8B">
        <w:t>stated</w:t>
      </w:r>
      <w:r w:rsidR="000E4CF5">
        <w:t xml:space="preserve"> </w:t>
      </w:r>
      <w:r w:rsidRPr="00E06F8B">
        <w:t>beliefs</w:t>
      </w:r>
      <w:r w:rsidR="000E4CF5">
        <w:t xml:space="preserve"> </w:t>
      </w:r>
      <w:r w:rsidRPr="00E06F8B">
        <w:t>about</w:t>
      </w:r>
      <w:r w:rsidR="000E4CF5">
        <w:t xml:space="preserve"> </w:t>
      </w:r>
      <w:r w:rsidRPr="00E06F8B">
        <w:t>teaching</w:t>
      </w:r>
      <w:r w:rsidR="000E4CF5">
        <w:t xml:space="preserve"> </w:t>
      </w:r>
      <w:r w:rsidRPr="00E06F8B">
        <w:t>as</w:t>
      </w:r>
      <w:r w:rsidR="000E4CF5">
        <w:t xml:space="preserve"> </w:t>
      </w:r>
      <w:r w:rsidRPr="00E06F8B">
        <w:t>learning</w:t>
      </w:r>
      <w:r w:rsidR="000E4CF5">
        <w:t xml:space="preserve"> </w:t>
      </w:r>
      <w:r w:rsidRPr="00E06F8B">
        <w:t>support</w:t>
      </w:r>
      <w:r w:rsidR="000E4CF5">
        <w:t xml:space="preserve"> </w:t>
      </w:r>
      <w:r w:rsidRPr="00E06F8B">
        <w:t>(e.g.,</w:t>
      </w:r>
      <w:r w:rsidR="000E4CF5">
        <w:t xml:space="preserve"> </w:t>
      </w:r>
      <w:r w:rsidRPr="00E06F8B">
        <w:t>“The</w:t>
      </w:r>
      <w:r w:rsidR="000E4CF5">
        <w:t xml:space="preserve"> </w:t>
      </w:r>
      <w:r w:rsidRPr="00E06F8B">
        <w:t>primary</w:t>
      </w:r>
      <w:r w:rsidR="000E4CF5">
        <w:t xml:space="preserve"> </w:t>
      </w:r>
      <w:r w:rsidRPr="00E06F8B">
        <w:t>goal</w:t>
      </w:r>
      <w:r w:rsidR="000E4CF5">
        <w:t xml:space="preserve"> </w:t>
      </w:r>
      <w:r w:rsidRPr="00E06F8B">
        <w:t>of</w:t>
      </w:r>
      <w:r w:rsidR="000E4CF5">
        <w:t xml:space="preserve"> </w:t>
      </w:r>
      <w:r w:rsidRPr="00E06F8B">
        <w:t>science</w:t>
      </w:r>
      <w:r w:rsidR="000E4CF5">
        <w:t xml:space="preserve"> </w:t>
      </w:r>
      <w:r w:rsidRPr="00E06F8B">
        <w:t>teachers</w:t>
      </w:r>
      <w:r w:rsidR="000E4CF5">
        <w:t xml:space="preserve"> </w:t>
      </w:r>
      <w:r w:rsidRPr="00E06F8B">
        <w:t>is</w:t>
      </w:r>
      <w:r w:rsidR="000E4CF5">
        <w:t xml:space="preserve"> </w:t>
      </w:r>
      <w:r w:rsidRPr="00E06F8B">
        <w:t>to</w:t>
      </w:r>
      <w:r w:rsidR="000E4CF5">
        <w:t xml:space="preserve"> </w:t>
      </w:r>
      <w:r w:rsidRPr="00E06F8B">
        <w:t>guide</w:t>
      </w:r>
      <w:r w:rsidR="000E4CF5">
        <w:t xml:space="preserve"> </w:t>
      </w:r>
      <w:r w:rsidRPr="00E06F8B">
        <w:t>students</w:t>
      </w:r>
      <w:r w:rsidR="000E4CF5">
        <w:t xml:space="preserve"> </w:t>
      </w:r>
      <w:r w:rsidRPr="00E06F8B">
        <w:t>in</w:t>
      </w:r>
      <w:r w:rsidR="000E4CF5">
        <w:t xml:space="preserve"> </w:t>
      </w:r>
      <w:r w:rsidRPr="00E06F8B">
        <w:t>active</w:t>
      </w:r>
      <w:r w:rsidR="000E4CF5">
        <w:t xml:space="preserve"> </w:t>
      </w:r>
      <w:r w:rsidRPr="00E06F8B">
        <w:t>and</w:t>
      </w:r>
      <w:r w:rsidR="000E4CF5">
        <w:t xml:space="preserve"> </w:t>
      </w:r>
      <w:r w:rsidRPr="00E06F8B">
        <w:t>extended</w:t>
      </w:r>
      <w:r w:rsidR="000E4CF5">
        <w:t xml:space="preserve"> </w:t>
      </w:r>
      <w:r w:rsidRPr="00E06F8B">
        <w:t>inquiry”,</w:t>
      </w:r>
      <w:r w:rsidR="000E4CF5">
        <w:t xml:space="preserve"> </w:t>
      </w:r>
      <w:r w:rsidRPr="00E06F8B">
        <w:sym w:font="Symbol" w:char="F061"/>
      </w:r>
      <w:r w:rsidR="000E4CF5">
        <w:t xml:space="preserve"> </w:t>
      </w:r>
      <w:r w:rsidR="009C01C8">
        <w:t>= 0.</w:t>
      </w:r>
      <w:r w:rsidRPr="00E06F8B">
        <w:t>58).</w:t>
      </w:r>
      <w:r w:rsidR="000E4CF5">
        <w:t xml:space="preserve"> </w:t>
      </w:r>
      <w:r w:rsidRPr="00E06F8B">
        <w:t>The</w:t>
      </w:r>
      <w:r w:rsidR="000E4CF5">
        <w:t xml:space="preserve"> </w:t>
      </w:r>
      <w:r w:rsidRPr="00E06F8B">
        <w:t>reliability</w:t>
      </w:r>
      <w:r w:rsidR="000E4CF5">
        <w:t xml:space="preserve"> </w:t>
      </w:r>
      <w:r w:rsidRPr="00E06F8B">
        <w:t>of</w:t>
      </w:r>
      <w:r w:rsidR="000E4CF5">
        <w:t xml:space="preserve"> </w:t>
      </w:r>
      <w:r w:rsidRPr="00E06F8B">
        <w:t>the</w:t>
      </w:r>
      <w:r w:rsidR="000E4CF5">
        <w:t xml:space="preserve"> </w:t>
      </w:r>
      <w:r w:rsidRPr="00E06F8B">
        <w:t>scales,</w:t>
      </w:r>
      <w:r w:rsidR="000E4CF5">
        <w:t xml:space="preserve"> </w:t>
      </w:r>
      <w:r w:rsidRPr="00E06F8B">
        <w:t>although</w:t>
      </w:r>
      <w:r w:rsidR="000E4CF5">
        <w:t xml:space="preserve"> </w:t>
      </w:r>
      <w:r w:rsidRPr="00E06F8B">
        <w:t>not</w:t>
      </w:r>
      <w:r w:rsidR="000E4CF5">
        <w:t xml:space="preserve"> </w:t>
      </w:r>
      <w:r w:rsidRPr="00E06F8B">
        <w:t>very</w:t>
      </w:r>
      <w:r w:rsidR="000E4CF5">
        <w:t xml:space="preserve"> </w:t>
      </w:r>
      <w:r w:rsidRPr="00E06F8B">
        <w:t>high,</w:t>
      </w:r>
      <w:r w:rsidR="000E4CF5">
        <w:t xml:space="preserve"> </w:t>
      </w:r>
      <w:proofErr w:type="gramStart"/>
      <w:r w:rsidRPr="00E06F8B">
        <w:t>were</w:t>
      </w:r>
      <w:proofErr w:type="gramEnd"/>
      <w:r w:rsidR="000E4CF5">
        <w:t xml:space="preserve"> </w:t>
      </w:r>
      <w:r w:rsidRPr="00E06F8B">
        <w:t>considered</w:t>
      </w:r>
      <w:r w:rsidR="000E4CF5">
        <w:t xml:space="preserve"> </w:t>
      </w:r>
      <w:r w:rsidRPr="00E06F8B">
        <w:t>adequate</w:t>
      </w:r>
      <w:r w:rsidR="000E4CF5">
        <w:t xml:space="preserve"> </w:t>
      </w:r>
      <w:r w:rsidRPr="00E06F8B">
        <w:t>(</w:t>
      </w:r>
      <w:proofErr w:type="spellStart"/>
      <w:r w:rsidRPr="00E06F8B">
        <w:t>DeVellis</w:t>
      </w:r>
      <w:proofErr w:type="spellEnd"/>
      <w:r w:rsidRPr="00E06F8B">
        <w:t>,</w:t>
      </w:r>
      <w:r w:rsidR="000E4CF5">
        <w:t xml:space="preserve"> </w:t>
      </w:r>
      <w:r w:rsidRPr="00E06F8B">
        <w:t>1991;</w:t>
      </w:r>
      <w:r w:rsidR="000E4CF5">
        <w:t xml:space="preserve"> </w:t>
      </w:r>
      <w:proofErr w:type="spellStart"/>
      <w:r w:rsidRPr="00E06F8B">
        <w:t>Nunnally</w:t>
      </w:r>
      <w:proofErr w:type="spellEnd"/>
      <w:r w:rsidRPr="00E06F8B">
        <w:t>,</w:t>
      </w:r>
      <w:r w:rsidR="000E4CF5">
        <w:t xml:space="preserve"> </w:t>
      </w:r>
      <w:r w:rsidRPr="00E06F8B">
        <w:t>1967)</w:t>
      </w:r>
      <w:r w:rsidR="000E4CF5">
        <w:t xml:space="preserve"> </w:t>
      </w:r>
      <w:r w:rsidRPr="00E06F8B">
        <w:t>for</w:t>
      </w:r>
      <w:r w:rsidR="000E4CF5">
        <w:t xml:space="preserve"> </w:t>
      </w:r>
      <w:r w:rsidRPr="00E06F8B">
        <w:t>the</w:t>
      </w:r>
      <w:r w:rsidR="000E4CF5">
        <w:t xml:space="preserve"> </w:t>
      </w:r>
      <w:r w:rsidRPr="00E06F8B">
        <w:t>exploratory</w:t>
      </w:r>
      <w:r w:rsidR="000E4CF5">
        <w:t xml:space="preserve"> </w:t>
      </w:r>
      <w:r w:rsidRPr="00E06F8B">
        <w:t>purpose</w:t>
      </w:r>
      <w:r w:rsidR="000E4CF5">
        <w:t xml:space="preserve"> </w:t>
      </w:r>
      <w:r w:rsidRPr="00E06F8B">
        <w:t>of</w:t>
      </w:r>
      <w:r w:rsidR="000E4CF5">
        <w:t xml:space="preserve"> </w:t>
      </w:r>
      <w:r w:rsidRPr="00E06F8B">
        <w:t>the</w:t>
      </w:r>
      <w:r w:rsidR="000E4CF5">
        <w:t xml:space="preserve"> </w:t>
      </w:r>
      <w:r w:rsidRPr="00E06F8B">
        <w:t>current</w:t>
      </w:r>
      <w:r w:rsidR="000E4CF5">
        <w:t xml:space="preserve"> </w:t>
      </w:r>
      <w:r w:rsidRPr="00E06F8B">
        <w:t>study.</w:t>
      </w:r>
    </w:p>
    <w:p w14:paraId="3589CAD4" w14:textId="77777777" w:rsidR="003C3691" w:rsidRDefault="007D04A1" w:rsidP="003C3691">
      <w:pPr>
        <w:pStyle w:val="Heading2"/>
      </w:pPr>
      <w:r w:rsidRPr="00E06F8B">
        <w:t>Beliefs</w:t>
      </w:r>
      <w:r w:rsidR="000E4CF5">
        <w:t xml:space="preserve"> </w:t>
      </w:r>
      <w:r w:rsidRPr="00E06F8B">
        <w:t>about</w:t>
      </w:r>
      <w:r w:rsidR="000E4CF5">
        <w:t xml:space="preserve"> </w:t>
      </w:r>
      <w:r w:rsidRPr="00E06F8B">
        <w:t>learning</w:t>
      </w:r>
      <w:r w:rsidR="000E4CF5">
        <w:t xml:space="preserve"> </w:t>
      </w:r>
      <w:r w:rsidRPr="00E06F8B">
        <w:t>scales</w:t>
      </w:r>
    </w:p>
    <w:p w14:paraId="0236F40C" w14:textId="77777777" w:rsidR="007D04A1" w:rsidRPr="00E06F8B" w:rsidRDefault="007D04A1" w:rsidP="003C3691">
      <w:r w:rsidRPr="00E06F8B">
        <w:t>Beliefs</w:t>
      </w:r>
      <w:r w:rsidR="000E4CF5">
        <w:t xml:space="preserve"> </w:t>
      </w:r>
      <w:r w:rsidRPr="00E06F8B">
        <w:t>about</w:t>
      </w:r>
      <w:r w:rsidR="000E4CF5">
        <w:t xml:space="preserve"> </w:t>
      </w:r>
      <w:r w:rsidRPr="00E06F8B">
        <w:t>learning</w:t>
      </w:r>
      <w:r w:rsidR="000E4CF5">
        <w:t xml:space="preserve"> </w:t>
      </w:r>
      <w:r w:rsidRPr="00E06F8B">
        <w:t>were</w:t>
      </w:r>
      <w:r w:rsidR="000E4CF5">
        <w:t xml:space="preserve"> </w:t>
      </w:r>
      <w:r w:rsidRPr="00E06F8B">
        <w:t>assessed</w:t>
      </w:r>
      <w:r w:rsidR="000E4CF5">
        <w:t xml:space="preserve"> </w:t>
      </w:r>
      <w:r w:rsidRPr="00E06F8B">
        <w:t>using</w:t>
      </w:r>
      <w:r w:rsidR="000E4CF5">
        <w:t xml:space="preserve"> </w:t>
      </w:r>
      <w:r w:rsidRPr="00E06F8B">
        <w:t>16</w:t>
      </w:r>
      <w:r w:rsidR="000E4CF5">
        <w:t xml:space="preserve"> </w:t>
      </w:r>
      <w:r w:rsidRPr="00E06F8B">
        <w:t>items.</w:t>
      </w:r>
      <w:r w:rsidR="000E4CF5">
        <w:t xml:space="preserve"> </w:t>
      </w:r>
      <w:r w:rsidRPr="00E06F8B">
        <w:t>The</w:t>
      </w:r>
      <w:r w:rsidR="000E4CF5">
        <w:t xml:space="preserve"> </w:t>
      </w:r>
      <w:r w:rsidRPr="00E06F8B">
        <w:t>items</w:t>
      </w:r>
      <w:r w:rsidR="000E4CF5">
        <w:t xml:space="preserve"> </w:t>
      </w:r>
      <w:r w:rsidRPr="00E06F8B">
        <w:t>were</w:t>
      </w:r>
      <w:r w:rsidR="000E4CF5">
        <w:t xml:space="preserve"> </w:t>
      </w:r>
      <w:r w:rsidRPr="00E06F8B">
        <w:t>drawn</w:t>
      </w:r>
      <w:r w:rsidR="000E4CF5">
        <w:t xml:space="preserve"> </w:t>
      </w:r>
      <w:r w:rsidRPr="00E06F8B">
        <w:t>from</w:t>
      </w:r>
      <w:r w:rsidR="000E4CF5">
        <w:t xml:space="preserve"> </w:t>
      </w:r>
      <w:r w:rsidRPr="00E06F8B">
        <w:t>the</w:t>
      </w:r>
      <w:r w:rsidR="000E4CF5">
        <w:t xml:space="preserve"> </w:t>
      </w:r>
      <w:r w:rsidRPr="00E06F8B">
        <w:t>propositions</w:t>
      </w:r>
      <w:r w:rsidR="000E4CF5">
        <w:t xml:space="preserve"> </w:t>
      </w:r>
      <w:r w:rsidRPr="00E06F8B">
        <w:t>stated</w:t>
      </w:r>
      <w:r w:rsidR="000E4CF5">
        <w:t xml:space="preserve"> </w:t>
      </w:r>
      <w:r w:rsidRPr="00E06F8B">
        <w:t>by</w:t>
      </w:r>
      <w:r w:rsidR="000E4CF5">
        <w:t xml:space="preserve"> </w:t>
      </w:r>
      <w:r w:rsidRPr="00E06F8B">
        <w:t>Stevenson</w:t>
      </w:r>
      <w:r w:rsidR="000E4CF5">
        <w:t xml:space="preserve"> </w:t>
      </w:r>
      <w:r w:rsidRPr="00E06F8B">
        <w:t>and</w:t>
      </w:r>
      <w:r w:rsidR="000E4CF5">
        <w:t xml:space="preserve"> </w:t>
      </w:r>
      <w:r w:rsidRPr="00E06F8B">
        <w:t>Stigler</w:t>
      </w:r>
      <w:r w:rsidR="000E4CF5">
        <w:t xml:space="preserve"> </w:t>
      </w:r>
      <w:r w:rsidRPr="00E06F8B">
        <w:t>(1991)</w:t>
      </w:r>
      <w:r w:rsidR="000E4CF5">
        <w:t xml:space="preserve"> </w:t>
      </w:r>
      <w:r w:rsidRPr="00E06F8B">
        <w:t>to</w:t>
      </w:r>
      <w:r w:rsidR="000E4CF5">
        <w:t xml:space="preserve"> </w:t>
      </w:r>
      <w:r w:rsidRPr="00E06F8B">
        <w:t>contrast</w:t>
      </w:r>
      <w:r w:rsidR="000E4CF5">
        <w:t xml:space="preserve"> </w:t>
      </w:r>
      <w:r w:rsidRPr="00E06F8B">
        <w:t>between</w:t>
      </w:r>
      <w:r w:rsidR="000E4CF5">
        <w:t xml:space="preserve"> </w:t>
      </w:r>
      <w:r w:rsidRPr="00E06F8B">
        <w:t>the</w:t>
      </w:r>
      <w:r w:rsidR="000E4CF5">
        <w:t xml:space="preserve"> </w:t>
      </w:r>
      <w:r w:rsidRPr="00E06F8B">
        <w:t>effort-</w:t>
      </w:r>
      <w:r w:rsidR="000E4CF5">
        <w:t xml:space="preserve"> </w:t>
      </w:r>
      <w:r w:rsidRPr="00E06F8B">
        <w:t>and</w:t>
      </w:r>
      <w:r w:rsidR="000E4CF5">
        <w:t xml:space="preserve"> </w:t>
      </w:r>
      <w:r w:rsidRPr="00E06F8B">
        <w:t>ability-models</w:t>
      </w:r>
      <w:r w:rsidR="000E4CF5">
        <w:t xml:space="preserve"> </w:t>
      </w:r>
      <w:r w:rsidRPr="00E06F8B">
        <w:t>of</w:t>
      </w:r>
      <w:r w:rsidR="000E4CF5">
        <w:t xml:space="preserve"> </w:t>
      </w:r>
      <w:r w:rsidRPr="00E06F8B">
        <w:t>learning.</w:t>
      </w:r>
      <w:r w:rsidR="000E4CF5">
        <w:t xml:space="preserve"> </w:t>
      </w:r>
      <w:r w:rsidRPr="00E06F8B">
        <w:t>The</w:t>
      </w:r>
      <w:r w:rsidR="000E4CF5">
        <w:t xml:space="preserve"> </w:t>
      </w:r>
      <w:proofErr w:type="gramStart"/>
      <w:r w:rsidRPr="00E06F8B">
        <w:t>items</w:t>
      </w:r>
      <w:r w:rsidR="000E4CF5">
        <w:t xml:space="preserve"> </w:t>
      </w:r>
      <w:r w:rsidRPr="00E06F8B">
        <w:t>were</w:t>
      </w:r>
      <w:r w:rsidR="000E4CF5">
        <w:t xml:space="preserve"> </w:t>
      </w:r>
      <w:r w:rsidRPr="00E06F8B">
        <w:t>also</w:t>
      </w:r>
      <w:r w:rsidR="000E4CF5">
        <w:t xml:space="preserve"> </w:t>
      </w:r>
      <w:r w:rsidRPr="00E06F8B">
        <w:t>evaluated</w:t>
      </w:r>
      <w:r w:rsidR="000E4CF5">
        <w:t xml:space="preserve"> </w:t>
      </w:r>
      <w:r w:rsidRPr="00E06F8B">
        <w:t>in</w:t>
      </w:r>
      <w:r w:rsidR="000E4CF5">
        <w:t xml:space="preserve"> </w:t>
      </w:r>
      <w:r w:rsidRPr="00E06F8B">
        <w:t>the</w:t>
      </w:r>
      <w:r w:rsidR="000E4CF5">
        <w:t xml:space="preserve"> </w:t>
      </w:r>
      <w:r w:rsidRPr="00E06F8B">
        <w:t>same</w:t>
      </w:r>
      <w:r w:rsidR="000E4CF5">
        <w:t xml:space="preserve"> </w:t>
      </w:r>
      <w:r w:rsidRPr="00E06F8B">
        <w:t>process</w:t>
      </w:r>
      <w:r w:rsidR="000E4CF5">
        <w:t xml:space="preserve"> </w:t>
      </w:r>
      <w:r w:rsidRPr="00E06F8B">
        <w:t>as</w:t>
      </w:r>
      <w:r w:rsidR="000E4CF5">
        <w:t xml:space="preserve"> </w:t>
      </w:r>
      <w:r w:rsidRPr="00E06F8B">
        <w:t>the</w:t>
      </w:r>
      <w:r w:rsidR="000E4CF5">
        <w:t xml:space="preserve"> </w:t>
      </w:r>
      <w:r w:rsidRPr="00E06F8B">
        <w:t>previous</w:t>
      </w:r>
      <w:r w:rsidR="000E4CF5">
        <w:t xml:space="preserve"> </w:t>
      </w:r>
      <w:r w:rsidRPr="00E06F8B">
        <w:t>scale</w:t>
      </w:r>
      <w:r w:rsidR="000E4CF5">
        <w:t xml:space="preserve"> </w:t>
      </w:r>
      <w:r w:rsidRPr="00E06F8B">
        <w:t>by</w:t>
      </w:r>
      <w:r w:rsidR="000E4CF5">
        <w:t xml:space="preserve"> </w:t>
      </w:r>
      <w:r w:rsidRPr="00E06F8B">
        <w:t>the</w:t>
      </w:r>
      <w:r w:rsidR="000E4CF5">
        <w:t xml:space="preserve"> </w:t>
      </w:r>
      <w:r w:rsidRPr="00E06F8B">
        <w:t>same</w:t>
      </w:r>
      <w:r w:rsidR="000E4CF5">
        <w:t xml:space="preserve"> </w:t>
      </w:r>
      <w:r w:rsidRPr="00E06F8B">
        <w:t>independent</w:t>
      </w:r>
      <w:r w:rsidR="000E4CF5">
        <w:t xml:space="preserve"> </w:t>
      </w:r>
      <w:r w:rsidRPr="00E06F8B">
        <w:t>reviewer</w:t>
      </w:r>
      <w:proofErr w:type="gramEnd"/>
      <w:r w:rsidRPr="00E06F8B">
        <w:t>.</w:t>
      </w:r>
      <w:r w:rsidR="000E4CF5">
        <w:t xml:space="preserve"> </w:t>
      </w:r>
      <w:r w:rsidRPr="00E06F8B">
        <w:t>Half</w:t>
      </w:r>
      <w:r w:rsidR="000E4CF5">
        <w:t xml:space="preserve"> </w:t>
      </w:r>
      <w:r w:rsidRPr="00E06F8B">
        <w:t>of</w:t>
      </w:r>
      <w:r w:rsidR="000E4CF5">
        <w:t xml:space="preserve"> </w:t>
      </w:r>
      <w:r w:rsidRPr="00E06F8B">
        <w:t>the</w:t>
      </w:r>
      <w:r w:rsidR="000E4CF5">
        <w:t xml:space="preserve"> </w:t>
      </w:r>
      <w:r w:rsidRPr="00E06F8B">
        <w:t>items</w:t>
      </w:r>
      <w:r w:rsidR="000E4CF5">
        <w:t xml:space="preserve"> </w:t>
      </w:r>
      <w:r w:rsidRPr="00E06F8B">
        <w:t>referred</w:t>
      </w:r>
      <w:r w:rsidR="000E4CF5">
        <w:t xml:space="preserve"> </w:t>
      </w:r>
      <w:r w:rsidRPr="00E06F8B">
        <w:t>to</w:t>
      </w:r>
      <w:r w:rsidR="000E4CF5">
        <w:t xml:space="preserve"> </w:t>
      </w:r>
      <w:r w:rsidRPr="00E06F8B">
        <w:t>the</w:t>
      </w:r>
      <w:r w:rsidR="000E4CF5">
        <w:t xml:space="preserve"> </w:t>
      </w:r>
      <w:r w:rsidRPr="00E06F8B">
        <w:t>belief</w:t>
      </w:r>
      <w:r w:rsidR="000E4CF5">
        <w:t xml:space="preserve"> </w:t>
      </w:r>
      <w:r w:rsidRPr="00E06F8B">
        <w:t>that</w:t>
      </w:r>
      <w:r w:rsidR="000E4CF5">
        <w:t xml:space="preserve"> </w:t>
      </w:r>
      <w:r w:rsidRPr="00E06F8B">
        <w:t>success</w:t>
      </w:r>
      <w:r w:rsidR="000E4CF5">
        <w:t xml:space="preserve"> </w:t>
      </w:r>
      <w:r w:rsidRPr="00E06F8B">
        <w:t>in</w:t>
      </w:r>
      <w:r w:rsidR="000E4CF5">
        <w:t xml:space="preserve"> </w:t>
      </w:r>
      <w:r w:rsidRPr="00E06F8B">
        <w:t>learning</w:t>
      </w:r>
      <w:r w:rsidR="000E4CF5">
        <w:t xml:space="preserve"> </w:t>
      </w:r>
      <w:r w:rsidRPr="00E06F8B">
        <w:t>is</w:t>
      </w:r>
      <w:r w:rsidR="000E4CF5">
        <w:t xml:space="preserve"> </w:t>
      </w:r>
      <w:r w:rsidRPr="00E06F8B">
        <w:t>depended</w:t>
      </w:r>
      <w:r w:rsidR="000E4CF5">
        <w:t xml:space="preserve"> </w:t>
      </w:r>
      <w:r w:rsidRPr="00E06F8B">
        <w:t>on</w:t>
      </w:r>
      <w:r w:rsidR="000E4CF5">
        <w:t xml:space="preserve"> </w:t>
      </w:r>
      <w:r w:rsidRPr="00E06F8B">
        <w:t>the</w:t>
      </w:r>
      <w:r w:rsidR="000E4CF5">
        <w:t xml:space="preserve"> </w:t>
      </w:r>
      <w:r w:rsidRPr="00E06F8B">
        <w:t>students’</w:t>
      </w:r>
      <w:r w:rsidR="000E4CF5">
        <w:t xml:space="preserve"> </w:t>
      </w:r>
      <w:r w:rsidRPr="00E06F8B">
        <w:t>abilities</w:t>
      </w:r>
      <w:r w:rsidR="000E4CF5">
        <w:t xml:space="preserve"> </w:t>
      </w:r>
      <w:r w:rsidRPr="00E06F8B">
        <w:t>(e.g.,</w:t>
      </w:r>
      <w:r w:rsidR="000E4CF5">
        <w:t xml:space="preserve"> </w:t>
      </w:r>
      <w:r w:rsidRPr="00E06F8B">
        <w:t>“The</w:t>
      </w:r>
      <w:r w:rsidR="000E4CF5">
        <w:t xml:space="preserve"> </w:t>
      </w:r>
      <w:r w:rsidRPr="00E06F8B">
        <w:t>level</w:t>
      </w:r>
      <w:r w:rsidR="000E4CF5">
        <w:t xml:space="preserve"> </w:t>
      </w:r>
      <w:r w:rsidRPr="00E06F8B">
        <w:t>of</w:t>
      </w:r>
      <w:r w:rsidR="000E4CF5">
        <w:t xml:space="preserve"> </w:t>
      </w:r>
      <w:r w:rsidRPr="00E06F8B">
        <w:t>lear</w:t>
      </w:r>
      <w:r w:rsidRPr="00E06F8B">
        <w:t>n</w:t>
      </w:r>
      <w:r w:rsidRPr="00E06F8B">
        <w:t>ing</w:t>
      </w:r>
      <w:r w:rsidR="000E4CF5">
        <w:t xml:space="preserve"> </w:t>
      </w:r>
      <w:r w:rsidRPr="00E06F8B">
        <w:t>attained</w:t>
      </w:r>
      <w:r w:rsidR="000E4CF5">
        <w:t xml:space="preserve"> </w:t>
      </w:r>
      <w:r w:rsidRPr="00E06F8B">
        <w:t>depends</w:t>
      </w:r>
      <w:r w:rsidR="000E4CF5">
        <w:t xml:space="preserve"> </w:t>
      </w:r>
      <w:r w:rsidRPr="00E06F8B">
        <w:t>on</w:t>
      </w:r>
      <w:r w:rsidR="000E4CF5">
        <w:t xml:space="preserve"> </w:t>
      </w:r>
      <w:r w:rsidRPr="00E06F8B">
        <w:t>how</w:t>
      </w:r>
      <w:r w:rsidR="000E4CF5">
        <w:t xml:space="preserve"> </w:t>
      </w:r>
      <w:r w:rsidRPr="00E06F8B">
        <w:t>hard</w:t>
      </w:r>
      <w:r w:rsidR="000E4CF5">
        <w:t xml:space="preserve"> </w:t>
      </w:r>
      <w:r w:rsidRPr="00E06F8B">
        <w:t>a</w:t>
      </w:r>
      <w:r w:rsidR="000E4CF5">
        <w:t xml:space="preserve"> </w:t>
      </w:r>
      <w:r w:rsidRPr="00E06F8B">
        <w:t>student</w:t>
      </w:r>
      <w:r w:rsidR="000E4CF5">
        <w:t xml:space="preserve"> </w:t>
      </w:r>
      <w:r w:rsidRPr="00E06F8B">
        <w:t>studies”,</w:t>
      </w:r>
      <w:r w:rsidR="000E4CF5">
        <w:t xml:space="preserve"> </w:t>
      </w:r>
      <w:r w:rsidRPr="00E06F8B">
        <w:sym w:font="Symbol" w:char="F061"/>
      </w:r>
      <w:r w:rsidR="000E4CF5">
        <w:t xml:space="preserve"> </w:t>
      </w:r>
      <w:r w:rsidR="009C01C8">
        <w:t>= 0.</w:t>
      </w:r>
      <w:r w:rsidRPr="00E06F8B">
        <w:t>58),</w:t>
      </w:r>
      <w:r w:rsidR="000E4CF5">
        <w:t xml:space="preserve"> </w:t>
      </w:r>
      <w:r w:rsidRPr="00E06F8B">
        <w:t>and</w:t>
      </w:r>
      <w:r w:rsidR="000E4CF5">
        <w:t xml:space="preserve"> </w:t>
      </w:r>
      <w:r w:rsidRPr="00E06F8B">
        <w:t>the</w:t>
      </w:r>
      <w:r w:rsidR="000E4CF5">
        <w:t xml:space="preserve"> </w:t>
      </w:r>
      <w:r w:rsidRPr="00E06F8B">
        <w:t>rest</w:t>
      </w:r>
      <w:r w:rsidR="000E4CF5">
        <w:t xml:space="preserve"> </w:t>
      </w:r>
      <w:r w:rsidRPr="00E06F8B">
        <w:t>referred</w:t>
      </w:r>
      <w:r w:rsidR="000E4CF5">
        <w:t xml:space="preserve"> </w:t>
      </w:r>
      <w:r w:rsidRPr="00E06F8B">
        <w:t>to</w:t>
      </w:r>
      <w:r w:rsidR="000E4CF5">
        <w:t xml:space="preserve"> </w:t>
      </w:r>
      <w:r w:rsidRPr="00E06F8B">
        <w:t>the</w:t>
      </w:r>
      <w:r w:rsidR="000E4CF5">
        <w:t xml:space="preserve"> </w:t>
      </w:r>
      <w:r w:rsidRPr="00E06F8B">
        <w:t>belief</w:t>
      </w:r>
      <w:r w:rsidR="000E4CF5">
        <w:t xml:space="preserve"> </w:t>
      </w:r>
      <w:r w:rsidRPr="00E06F8B">
        <w:t>that</w:t>
      </w:r>
      <w:r w:rsidR="000E4CF5">
        <w:t xml:space="preserve"> </w:t>
      </w:r>
      <w:r w:rsidRPr="00E06F8B">
        <w:t>success</w:t>
      </w:r>
      <w:r w:rsidR="000E4CF5">
        <w:t xml:space="preserve"> </w:t>
      </w:r>
      <w:r w:rsidRPr="00E06F8B">
        <w:t>in</w:t>
      </w:r>
      <w:r w:rsidR="000E4CF5">
        <w:t xml:space="preserve"> </w:t>
      </w:r>
      <w:r w:rsidRPr="00E06F8B">
        <w:t>learning</w:t>
      </w:r>
      <w:r w:rsidR="000E4CF5">
        <w:t xml:space="preserve"> </w:t>
      </w:r>
      <w:r w:rsidRPr="00E06F8B">
        <w:t>is</w:t>
      </w:r>
      <w:r w:rsidR="000E4CF5">
        <w:t xml:space="preserve"> </w:t>
      </w:r>
      <w:r w:rsidRPr="00E06F8B">
        <w:t>dependent</w:t>
      </w:r>
      <w:r w:rsidR="000E4CF5">
        <w:t xml:space="preserve"> </w:t>
      </w:r>
      <w:r w:rsidRPr="00E06F8B">
        <w:t>on</w:t>
      </w:r>
      <w:r w:rsidR="000E4CF5">
        <w:t xml:space="preserve"> </w:t>
      </w:r>
      <w:r w:rsidRPr="00E06F8B">
        <w:t>the</w:t>
      </w:r>
      <w:r w:rsidR="000E4CF5">
        <w:t xml:space="preserve"> </w:t>
      </w:r>
      <w:r w:rsidRPr="00E06F8B">
        <w:t>st</w:t>
      </w:r>
      <w:r w:rsidRPr="00E06F8B">
        <w:t>u</w:t>
      </w:r>
      <w:r w:rsidRPr="00E06F8B">
        <w:t>dents’</w:t>
      </w:r>
      <w:r w:rsidR="000E4CF5">
        <w:t xml:space="preserve"> </w:t>
      </w:r>
      <w:r w:rsidRPr="00E06F8B">
        <w:t>effort</w:t>
      </w:r>
      <w:r w:rsidR="000E4CF5">
        <w:t xml:space="preserve"> </w:t>
      </w:r>
      <w:r w:rsidRPr="00E06F8B">
        <w:t>and</w:t>
      </w:r>
      <w:r w:rsidR="000E4CF5">
        <w:t xml:space="preserve"> </w:t>
      </w:r>
      <w:r w:rsidRPr="00E06F8B">
        <w:t>hard</w:t>
      </w:r>
      <w:r w:rsidR="000E4CF5">
        <w:t xml:space="preserve"> </w:t>
      </w:r>
      <w:r w:rsidRPr="00E06F8B">
        <w:t>work</w:t>
      </w:r>
      <w:r w:rsidR="000E4CF5">
        <w:t xml:space="preserve"> </w:t>
      </w:r>
      <w:r w:rsidRPr="00E06F8B">
        <w:t>(e.g.,</w:t>
      </w:r>
      <w:r w:rsidR="000E4CF5">
        <w:t xml:space="preserve"> </w:t>
      </w:r>
      <w:r w:rsidRPr="00E06F8B">
        <w:t>“The</w:t>
      </w:r>
      <w:r w:rsidR="000E4CF5">
        <w:t xml:space="preserve"> </w:t>
      </w:r>
      <w:r w:rsidRPr="00E06F8B">
        <w:t>level</w:t>
      </w:r>
      <w:r w:rsidR="000E4CF5">
        <w:t xml:space="preserve"> </w:t>
      </w:r>
      <w:r w:rsidRPr="00E06F8B">
        <w:t>of</w:t>
      </w:r>
      <w:r w:rsidR="000E4CF5">
        <w:t xml:space="preserve"> </w:t>
      </w:r>
      <w:r w:rsidRPr="00E06F8B">
        <w:t>learning</w:t>
      </w:r>
      <w:r w:rsidR="000E4CF5">
        <w:t xml:space="preserve"> </w:t>
      </w:r>
      <w:r w:rsidRPr="00E06F8B">
        <w:t>attained</w:t>
      </w:r>
      <w:r w:rsidR="000E4CF5">
        <w:t xml:space="preserve"> </w:t>
      </w:r>
      <w:r w:rsidRPr="00E06F8B">
        <w:t>is</w:t>
      </w:r>
      <w:r w:rsidR="000E4CF5">
        <w:t xml:space="preserve"> </w:t>
      </w:r>
      <w:r w:rsidRPr="00E06F8B">
        <w:t>limited</w:t>
      </w:r>
      <w:r w:rsidR="000E4CF5">
        <w:t xml:space="preserve"> </w:t>
      </w:r>
      <w:r w:rsidRPr="00E06F8B">
        <w:t>by</w:t>
      </w:r>
      <w:r w:rsidR="000E4CF5">
        <w:t xml:space="preserve"> </w:t>
      </w:r>
      <w:r w:rsidRPr="00E06F8B">
        <w:t>the</w:t>
      </w:r>
      <w:r w:rsidR="000E4CF5">
        <w:t xml:space="preserve"> </w:t>
      </w:r>
      <w:r w:rsidRPr="00E06F8B">
        <w:t>students’</w:t>
      </w:r>
      <w:r w:rsidR="000E4CF5">
        <w:t xml:space="preserve"> </w:t>
      </w:r>
      <w:r w:rsidRPr="00E06F8B">
        <w:t>intelligence”,</w:t>
      </w:r>
      <w:r w:rsidR="000E4CF5">
        <w:t xml:space="preserve"> </w:t>
      </w:r>
      <w:r w:rsidRPr="00E06F8B">
        <w:sym w:font="Symbol" w:char="F061"/>
      </w:r>
      <w:r w:rsidR="000E4CF5">
        <w:t xml:space="preserve"> </w:t>
      </w:r>
      <w:r w:rsidR="009C01C8">
        <w:t>= 0.</w:t>
      </w:r>
      <w:r w:rsidRPr="00E06F8B">
        <w:t>56).</w:t>
      </w:r>
      <w:r w:rsidR="000E4CF5">
        <w:t xml:space="preserve"> </w:t>
      </w:r>
      <w:r w:rsidRPr="00E06F8B">
        <w:t>Again,</w:t>
      </w:r>
      <w:r w:rsidR="000E4CF5">
        <w:t xml:space="preserve"> </w:t>
      </w:r>
      <w:r w:rsidRPr="00E06F8B">
        <w:t>the</w:t>
      </w:r>
      <w:r w:rsidR="000E4CF5">
        <w:t xml:space="preserve"> </w:t>
      </w:r>
      <w:r w:rsidRPr="00E06F8B">
        <w:t>reliability</w:t>
      </w:r>
      <w:r w:rsidR="000E4CF5">
        <w:t xml:space="preserve"> </w:t>
      </w:r>
      <w:r w:rsidRPr="00E06F8B">
        <w:t>of</w:t>
      </w:r>
      <w:r w:rsidR="000E4CF5">
        <w:t xml:space="preserve"> </w:t>
      </w:r>
      <w:r w:rsidRPr="00E06F8B">
        <w:t>the</w:t>
      </w:r>
      <w:r w:rsidR="000E4CF5">
        <w:t xml:space="preserve"> </w:t>
      </w:r>
      <w:r w:rsidRPr="00E06F8B">
        <w:t>scales</w:t>
      </w:r>
      <w:r w:rsidR="000E4CF5">
        <w:t xml:space="preserve"> </w:t>
      </w:r>
      <w:r w:rsidRPr="00E06F8B">
        <w:t>were</w:t>
      </w:r>
      <w:r w:rsidR="000E4CF5">
        <w:t xml:space="preserve"> </w:t>
      </w:r>
      <w:r w:rsidRPr="00E06F8B">
        <w:t>not</w:t>
      </w:r>
      <w:r w:rsidR="000E4CF5">
        <w:t xml:space="preserve"> </w:t>
      </w:r>
      <w:r w:rsidRPr="00E06F8B">
        <w:t>very</w:t>
      </w:r>
      <w:r w:rsidR="000E4CF5">
        <w:t xml:space="preserve"> </w:t>
      </w:r>
      <w:r w:rsidRPr="00E06F8B">
        <w:t>high,</w:t>
      </w:r>
      <w:r w:rsidR="000E4CF5">
        <w:t xml:space="preserve"> </w:t>
      </w:r>
      <w:r w:rsidRPr="00E06F8B">
        <w:t>but</w:t>
      </w:r>
      <w:r w:rsidR="000E4CF5">
        <w:t xml:space="preserve"> </w:t>
      </w:r>
      <w:r w:rsidRPr="00E06F8B">
        <w:t>were</w:t>
      </w:r>
      <w:r w:rsidR="000E4CF5">
        <w:t xml:space="preserve"> </w:t>
      </w:r>
      <w:r w:rsidRPr="00E06F8B">
        <w:t>considered</w:t>
      </w:r>
      <w:r w:rsidR="000E4CF5">
        <w:t xml:space="preserve"> </w:t>
      </w:r>
      <w:r w:rsidRPr="00E06F8B">
        <w:t>adequate</w:t>
      </w:r>
      <w:r w:rsidR="000E4CF5">
        <w:t xml:space="preserve"> </w:t>
      </w:r>
      <w:r w:rsidRPr="00E06F8B">
        <w:t>(</w:t>
      </w:r>
      <w:proofErr w:type="spellStart"/>
      <w:r w:rsidRPr="00E06F8B">
        <w:t>DeVellis</w:t>
      </w:r>
      <w:proofErr w:type="spellEnd"/>
      <w:r w:rsidRPr="00E06F8B">
        <w:t>,</w:t>
      </w:r>
      <w:r w:rsidR="000E4CF5">
        <w:t xml:space="preserve"> </w:t>
      </w:r>
      <w:r w:rsidRPr="00E06F8B">
        <w:t>1991;</w:t>
      </w:r>
      <w:r w:rsidR="000E4CF5">
        <w:t xml:space="preserve"> </w:t>
      </w:r>
      <w:proofErr w:type="spellStart"/>
      <w:r w:rsidRPr="00E06F8B">
        <w:t>Nunnally</w:t>
      </w:r>
      <w:proofErr w:type="spellEnd"/>
      <w:r w:rsidRPr="00E06F8B">
        <w:t>,</w:t>
      </w:r>
      <w:r w:rsidR="000E4CF5">
        <w:t xml:space="preserve"> </w:t>
      </w:r>
      <w:r w:rsidRPr="00E06F8B">
        <w:t>1967)</w:t>
      </w:r>
      <w:r w:rsidR="000E4CF5">
        <w:t xml:space="preserve"> </w:t>
      </w:r>
      <w:r w:rsidRPr="00E06F8B">
        <w:t>for</w:t>
      </w:r>
      <w:r w:rsidR="000E4CF5">
        <w:t xml:space="preserve"> </w:t>
      </w:r>
      <w:r w:rsidRPr="00E06F8B">
        <w:t>the</w:t>
      </w:r>
      <w:r w:rsidR="000E4CF5">
        <w:t xml:space="preserve"> </w:t>
      </w:r>
      <w:r w:rsidRPr="00E06F8B">
        <w:t>exploratory</w:t>
      </w:r>
      <w:r w:rsidR="000E4CF5">
        <w:t xml:space="preserve"> </w:t>
      </w:r>
      <w:r w:rsidRPr="00E06F8B">
        <w:t>purpose</w:t>
      </w:r>
      <w:r w:rsidR="000E4CF5">
        <w:t xml:space="preserve"> </w:t>
      </w:r>
      <w:r w:rsidRPr="00E06F8B">
        <w:t>of</w:t>
      </w:r>
      <w:r w:rsidR="000E4CF5">
        <w:t xml:space="preserve"> </w:t>
      </w:r>
      <w:r w:rsidRPr="00E06F8B">
        <w:t>the</w:t>
      </w:r>
      <w:r w:rsidR="000E4CF5">
        <w:t xml:space="preserve"> </w:t>
      </w:r>
      <w:r w:rsidRPr="00E06F8B">
        <w:t>current</w:t>
      </w:r>
      <w:r w:rsidR="000E4CF5">
        <w:t xml:space="preserve"> </w:t>
      </w:r>
      <w:r w:rsidRPr="00E06F8B">
        <w:t>study.</w:t>
      </w:r>
      <w:r w:rsidR="000E4CF5">
        <w:t xml:space="preserve"> </w:t>
      </w:r>
    </w:p>
    <w:p w14:paraId="113D1959" w14:textId="77777777" w:rsidR="003C3691" w:rsidRDefault="007D04A1" w:rsidP="003C3691">
      <w:pPr>
        <w:pStyle w:val="Heading2"/>
      </w:pPr>
      <w:r w:rsidRPr="00E06F8B">
        <w:t>Cultural</w:t>
      </w:r>
      <w:r w:rsidR="000E4CF5">
        <w:t xml:space="preserve"> </w:t>
      </w:r>
      <w:r w:rsidRPr="00E06F8B">
        <w:t>beliefs</w:t>
      </w:r>
      <w:r w:rsidR="000E4CF5">
        <w:t xml:space="preserve"> </w:t>
      </w:r>
      <w:r w:rsidRPr="00E06F8B">
        <w:t>scale</w:t>
      </w:r>
    </w:p>
    <w:p w14:paraId="70022C85" w14:textId="77777777" w:rsidR="007D04A1" w:rsidRPr="00E06F8B" w:rsidRDefault="007D04A1" w:rsidP="003C3691">
      <w:r w:rsidRPr="00E06F8B">
        <w:t>The</w:t>
      </w:r>
      <w:r w:rsidR="000E4CF5">
        <w:t xml:space="preserve"> </w:t>
      </w:r>
      <w:r w:rsidRPr="00E06F8B">
        <w:t>scale</w:t>
      </w:r>
      <w:r w:rsidR="000E4CF5">
        <w:t xml:space="preserve"> </w:t>
      </w:r>
      <w:r w:rsidRPr="00E06F8B">
        <w:t>comprised</w:t>
      </w:r>
      <w:r w:rsidR="000E4CF5">
        <w:t xml:space="preserve"> </w:t>
      </w:r>
      <w:r w:rsidRPr="00E06F8B">
        <w:t>ten</w:t>
      </w:r>
      <w:r w:rsidR="000E4CF5">
        <w:t xml:space="preserve"> </w:t>
      </w:r>
      <w:r w:rsidRPr="00E06F8B">
        <w:t>items</w:t>
      </w:r>
      <w:r w:rsidR="000E4CF5">
        <w:t xml:space="preserve"> </w:t>
      </w:r>
      <w:r w:rsidRPr="00E06F8B">
        <w:t>referring</w:t>
      </w:r>
      <w:r w:rsidR="000E4CF5">
        <w:t xml:space="preserve"> </w:t>
      </w:r>
      <w:r w:rsidRPr="00E06F8B">
        <w:t>to</w:t>
      </w:r>
      <w:r w:rsidR="000E4CF5">
        <w:t xml:space="preserve"> </w:t>
      </w:r>
      <w:r w:rsidRPr="00E06F8B">
        <w:t>common</w:t>
      </w:r>
      <w:r w:rsidR="000E4CF5">
        <w:t xml:space="preserve"> </w:t>
      </w:r>
      <w:r w:rsidRPr="00E06F8B">
        <w:t>cultural</w:t>
      </w:r>
      <w:r w:rsidR="000E4CF5">
        <w:t xml:space="preserve"> </w:t>
      </w:r>
      <w:r w:rsidRPr="00E06F8B">
        <w:t>beliefs</w:t>
      </w:r>
      <w:r w:rsidR="000E4CF5">
        <w:t xml:space="preserve"> </w:t>
      </w:r>
      <w:r w:rsidRPr="00E06F8B">
        <w:t>pop</w:t>
      </w:r>
      <w:r w:rsidRPr="00E06F8B">
        <w:t>u</w:t>
      </w:r>
      <w:r w:rsidRPr="00E06F8B">
        <w:t>lar</w:t>
      </w:r>
      <w:r w:rsidR="000E4CF5">
        <w:t xml:space="preserve"> </w:t>
      </w:r>
      <w:r w:rsidRPr="00E06F8B">
        <w:t>in</w:t>
      </w:r>
      <w:r w:rsidR="000E4CF5">
        <w:t xml:space="preserve"> </w:t>
      </w:r>
      <w:r w:rsidRPr="00E06F8B">
        <w:t>the</w:t>
      </w:r>
      <w:r w:rsidR="000E4CF5">
        <w:t xml:space="preserve"> </w:t>
      </w:r>
      <w:r w:rsidRPr="00E06F8B">
        <w:t>local</w:t>
      </w:r>
      <w:r w:rsidR="000E4CF5">
        <w:t xml:space="preserve"> </w:t>
      </w:r>
      <w:r w:rsidRPr="00E06F8B">
        <w:t>culture</w:t>
      </w:r>
      <w:r w:rsidR="000E4CF5">
        <w:t xml:space="preserve"> </w:t>
      </w:r>
      <w:r w:rsidRPr="00E06F8B">
        <w:t>of</w:t>
      </w:r>
      <w:r w:rsidR="000E4CF5">
        <w:t xml:space="preserve"> </w:t>
      </w:r>
      <w:r w:rsidRPr="00E06F8B">
        <w:t>the</w:t>
      </w:r>
      <w:r w:rsidR="000E4CF5">
        <w:t xml:space="preserve"> </w:t>
      </w:r>
      <w:r w:rsidRPr="00E06F8B">
        <w:t>participants</w:t>
      </w:r>
      <w:r w:rsidR="000E4CF5">
        <w:t xml:space="preserve"> </w:t>
      </w:r>
      <w:r w:rsidRPr="00E06F8B">
        <w:t>(e.g.,</w:t>
      </w:r>
      <w:r w:rsidR="000E4CF5">
        <w:t xml:space="preserve"> </w:t>
      </w:r>
      <w:r w:rsidRPr="00E06F8B">
        <w:t>“When</w:t>
      </w:r>
      <w:r w:rsidR="000E4CF5">
        <w:t xml:space="preserve"> </w:t>
      </w:r>
      <w:r w:rsidRPr="00E06F8B">
        <w:t>building</w:t>
      </w:r>
      <w:r w:rsidR="000E4CF5">
        <w:t xml:space="preserve"> </w:t>
      </w:r>
      <w:r w:rsidRPr="00E06F8B">
        <w:t>a</w:t>
      </w:r>
      <w:r w:rsidR="000E4CF5">
        <w:t xml:space="preserve"> </w:t>
      </w:r>
      <w:r w:rsidRPr="00E06F8B">
        <w:t>house,</w:t>
      </w:r>
      <w:r w:rsidR="000E4CF5">
        <w:t xml:space="preserve"> </w:t>
      </w:r>
      <w:r w:rsidRPr="00E06F8B">
        <w:t>pour</w:t>
      </w:r>
      <w:r w:rsidR="000E4CF5">
        <w:t xml:space="preserve"> </w:t>
      </w:r>
      <w:r w:rsidRPr="00E06F8B">
        <w:t>blood</w:t>
      </w:r>
      <w:r w:rsidR="000E4CF5">
        <w:t xml:space="preserve"> </w:t>
      </w:r>
      <w:r w:rsidRPr="00E06F8B">
        <w:t>on</w:t>
      </w:r>
      <w:r w:rsidR="000E4CF5">
        <w:t xml:space="preserve"> </w:t>
      </w:r>
      <w:r w:rsidRPr="00E06F8B">
        <w:t>the</w:t>
      </w:r>
      <w:r w:rsidR="000E4CF5">
        <w:t xml:space="preserve"> </w:t>
      </w:r>
      <w:r w:rsidRPr="00E06F8B">
        <w:t>first</w:t>
      </w:r>
      <w:r w:rsidR="000E4CF5">
        <w:t xml:space="preserve"> </w:t>
      </w:r>
      <w:r w:rsidRPr="00E06F8B">
        <w:t>post</w:t>
      </w:r>
      <w:r w:rsidR="000E4CF5">
        <w:t xml:space="preserve"> </w:t>
      </w:r>
      <w:r w:rsidRPr="00E06F8B">
        <w:t>erected</w:t>
      </w:r>
      <w:r w:rsidR="000E4CF5">
        <w:t xml:space="preserve"> </w:t>
      </w:r>
      <w:r w:rsidRPr="00E06F8B">
        <w:t>to</w:t>
      </w:r>
      <w:r w:rsidR="000E4CF5">
        <w:t xml:space="preserve"> </w:t>
      </w:r>
      <w:r w:rsidRPr="00E06F8B">
        <w:t>strengthen</w:t>
      </w:r>
      <w:r w:rsidR="000E4CF5">
        <w:t xml:space="preserve"> </w:t>
      </w:r>
      <w:r w:rsidRPr="00E06F8B">
        <w:t>the</w:t>
      </w:r>
      <w:r w:rsidR="000E4CF5">
        <w:t xml:space="preserve"> </w:t>
      </w:r>
      <w:r w:rsidRPr="00E06F8B">
        <w:t>foundation,”</w:t>
      </w:r>
      <w:r w:rsidR="000E4CF5">
        <w:t xml:space="preserve"> </w:t>
      </w:r>
      <w:r w:rsidRPr="00E06F8B">
        <w:t>and</w:t>
      </w:r>
      <w:r w:rsidR="000E4CF5">
        <w:t xml:space="preserve"> </w:t>
      </w:r>
      <w:r w:rsidRPr="00E06F8B">
        <w:lastRenderedPageBreak/>
        <w:t>“When</w:t>
      </w:r>
      <w:r w:rsidR="000E4CF5">
        <w:t xml:space="preserve"> </w:t>
      </w:r>
      <w:r w:rsidRPr="00E06F8B">
        <w:t>you</w:t>
      </w:r>
      <w:r w:rsidR="000E4CF5">
        <w:t xml:space="preserve"> </w:t>
      </w:r>
      <w:r w:rsidRPr="00E06F8B">
        <w:t>dream</w:t>
      </w:r>
      <w:r w:rsidR="000E4CF5">
        <w:t xml:space="preserve"> </w:t>
      </w:r>
      <w:r w:rsidRPr="00E06F8B">
        <w:t>of</w:t>
      </w:r>
      <w:r w:rsidR="000E4CF5">
        <w:t xml:space="preserve"> </w:t>
      </w:r>
      <w:r w:rsidRPr="00E06F8B">
        <w:t>loosing</w:t>
      </w:r>
      <w:r w:rsidR="000E4CF5">
        <w:t xml:space="preserve"> </w:t>
      </w:r>
      <w:r w:rsidRPr="00E06F8B">
        <w:t>a</w:t>
      </w:r>
      <w:r w:rsidR="000E4CF5">
        <w:t xml:space="preserve"> </w:t>
      </w:r>
      <w:r w:rsidRPr="00E06F8B">
        <w:t>tooth,</w:t>
      </w:r>
      <w:r w:rsidR="000E4CF5">
        <w:t xml:space="preserve"> </w:t>
      </w:r>
      <w:r w:rsidRPr="00E06F8B">
        <w:t>a</w:t>
      </w:r>
      <w:r w:rsidR="000E4CF5">
        <w:t xml:space="preserve"> </w:t>
      </w:r>
      <w:r w:rsidRPr="00E06F8B">
        <w:t>close</w:t>
      </w:r>
      <w:r w:rsidR="000E4CF5">
        <w:t xml:space="preserve"> </w:t>
      </w:r>
      <w:r w:rsidRPr="00E06F8B">
        <w:t>relative</w:t>
      </w:r>
      <w:r w:rsidR="000E4CF5">
        <w:t xml:space="preserve"> </w:t>
      </w:r>
      <w:r w:rsidRPr="00E06F8B">
        <w:t>will</w:t>
      </w:r>
      <w:r w:rsidR="000E4CF5">
        <w:t xml:space="preserve"> </w:t>
      </w:r>
      <w:r w:rsidRPr="00E06F8B">
        <w:t>die.”)</w:t>
      </w:r>
      <w:r w:rsidR="00DE3647">
        <w:t>.</w:t>
      </w:r>
      <w:r w:rsidR="000E4CF5">
        <w:t xml:space="preserve"> </w:t>
      </w:r>
      <w:r w:rsidRPr="00E06F8B">
        <w:t>The</w:t>
      </w:r>
      <w:r w:rsidR="000E4CF5">
        <w:t xml:space="preserve"> </w:t>
      </w:r>
      <w:r w:rsidRPr="00E06F8B">
        <w:t>r</w:t>
      </w:r>
      <w:r w:rsidRPr="00E06F8B">
        <w:t>e</w:t>
      </w:r>
      <w:r w:rsidRPr="00E06F8B">
        <w:t>searchers</w:t>
      </w:r>
      <w:r w:rsidR="000E4CF5">
        <w:t xml:space="preserve"> </w:t>
      </w:r>
      <w:r w:rsidRPr="00E06F8B">
        <w:t>generated</w:t>
      </w:r>
      <w:r w:rsidR="000E4CF5">
        <w:t xml:space="preserve"> </w:t>
      </w:r>
      <w:r w:rsidRPr="00E06F8B">
        <w:t>a</w:t>
      </w:r>
      <w:r w:rsidR="000E4CF5">
        <w:t xml:space="preserve"> </w:t>
      </w:r>
      <w:r w:rsidRPr="00E06F8B">
        <w:t>long</w:t>
      </w:r>
      <w:r w:rsidR="000E4CF5">
        <w:t xml:space="preserve"> </w:t>
      </w:r>
      <w:r w:rsidRPr="00E06F8B">
        <w:t>list</w:t>
      </w:r>
      <w:r w:rsidR="000E4CF5">
        <w:t xml:space="preserve"> </w:t>
      </w:r>
      <w:r w:rsidRPr="00E06F8B">
        <w:t>of</w:t>
      </w:r>
      <w:r w:rsidR="000E4CF5">
        <w:t xml:space="preserve"> </w:t>
      </w:r>
      <w:r w:rsidRPr="00E06F8B">
        <w:t>possible</w:t>
      </w:r>
      <w:r w:rsidR="000E4CF5">
        <w:t xml:space="preserve"> </w:t>
      </w:r>
      <w:r w:rsidRPr="00E06F8B">
        <w:t>items,</w:t>
      </w:r>
      <w:r w:rsidR="000E4CF5">
        <w:t xml:space="preserve"> </w:t>
      </w:r>
      <w:r w:rsidRPr="00E06F8B">
        <w:t>and</w:t>
      </w:r>
      <w:r w:rsidR="000E4CF5">
        <w:t xml:space="preserve"> </w:t>
      </w:r>
      <w:r w:rsidRPr="00E06F8B">
        <w:t>three</w:t>
      </w:r>
      <w:r w:rsidR="000E4CF5">
        <w:t xml:space="preserve"> </w:t>
      </w:r>
      <w:r w:rsidRPr="00E06F8B">
        <w:t>science</w:t>
      </w:r>
      <w:r w:rsidR="000E4CF5">
        <w:t xml:space="preserve"> </w:t>
      </w:r>
      <w:r w:rsidRPr="00E06F8B">
        <w:t>teac</w:t>
      </w:r>
      <w:r w:rsidRPr="00E06F8B">
        <w:t>h</w:t>
      </w:r>
      <w:r w:rsidRPr="00E06F8B">
        <w:t>ers</w:t>
      </w:r>
      <w:r w:rsidR="000E4CF5">
        <w:t xml:space="preserve"> </w:t>
      </w:r>
      <w:r w:rsidRPr="00E06F8B">
        <w:t>(who</w:t>
      </w:r>
      <w:r w:rsidR="000E4CF5">
        <w:t xml:space="preserve"> </w:t>
      </w:r>
      <w:r w:rsidRPr="00E06F8B">
        <w:t>were</w:t>
      </w:r>
      <w:r w:rsidR="000E4CF5">
        <w:t xml:space="preserve"> </w:t>
      </w:r>
      <w:r w:rsidRPr="00E06F8B">
        <w:t>not</w:t>
      </w:r>
      <w:r w:rsidR="000E4CF5">
        <w:t xml:space="preserve"> </w:t>
      </w:r>
      <w:r w:rsidRPr="00E06F8B">
        <w:t>knowledgeable</w:t>
      </w:r>
      <w:r w:rsidR="000E4CF5">
        <w:t xml:space="preserve"> </w:t>
      </w:r>
      <w:r w:rsidRPr="00E06F8B">
        <w:t>of</w:t>
      </w:r>
      <w:r w:rsidR="000E4CF5">
        <w:t xml:space="preserve"> </w:t>
      </w:r>
      <w:r w:rsidRPr="00E06F8B">
        <w:t>the</w:t>
      </w:r>
      <w:r w:rsidR="000E4CF5">
        <w:t xml:space="preserve"> </w:t>
      </w:r>
      <w:r w:rsidRPr="00E06F8B">
        <w:t>research</w:t>
      </w:r>
      <w:r w:rsidR="000E4CF5">
        <w:t xml:space="preserve"> </w:t>
      </w:r>
      <w:r w:rsidRPr="00E06F8B">
        <w:t>questions</w:t>
      </w:r>
      <w:r w:rsidR="000E4CF5">
        <w:t xml:space="preserve"> </w:t>
      </w:r>
      <w:r w:rsidRPr="00E06F8B">
        <w:t>and</w:t>
      </w:r>
      <w:r w:rsidR="000E4CF5">
        <w:t xml:space="preserve"> </w:t>
      </w:r>
      <w:r w:rsidRPr="00E06F8B">
        <w:t>hypoth</w:t>
      </w:r>
      <w:r w:rsidRPr="00E06F8B">
        <w:t>e</w:t>
      </w:r>
      <w:r w:rsidRPr="00E06F8B">
        <w:t>ses)</w:t>
      </w:r>
      <w:r w:rsidR="000E4CF5">
        <w:t xml:space="preserve"> </w:t>
      </w:r>
      <w:r w:rsidRPr="00E06F8B">
        <w:t>were</w:t>
      </w:r>
      <w:r w:rsidR="000E4CF5">
        <w:t xml:space="preserve"> </w:t>
      </w:r>
      <w:r w:rsidRPr="00E06F8B">
        <w:t>asked</w:t>
      </w:r>
      <w:r w:rsidR="000E4CF5">
        <w:t xml:space="preserve"> </w:t>
      </w:r>
      <w:r w:rsidRPr="00E06F8B">
        <w:t>to</w:t>
      </w:r>
      <w:r w:rsidR="000E4CF5">
        <w:t xml:space="preserve"> </w:t>
      </w:r>
      <w:r w:rsidRPr="00E06F8B">
        <w:t>identify</w:t>
      </w:r>
      <w:r w:rsidR="000E4CF5">
        <w:t xml:space="preserve"> </w:t>
      </w:r>
      <w:proofErr w:type="gramStart"/>
      <w:r w:rsidRPr="00E06F8B">
        <w:t>ten</w:t>
      </w:r>
      <w:r w:rsidR="000E4CF5">
        <w:t xml:space="preserve"> </w:t>
      </w:r>
      <w:r w:rsidRPr="00E06F8B">
        <w:t>which</w:t>
      </w:r>
      <w:proofErr w:type="gramEnd"/>
      <w:r w:rsidR="000E4CF5">
        <w:t xml:space="preserve"> </w:t>
      </w:r>
      <w:r w:rsidRPr="00E06F8B">
        <w:t>were</w:t>
      </w:r>
      <w:r w:rsidR="000E4CF5">
        <w:t xml:space="preserve"> </w:t>
      </w:r>
      <w:r w:rsidRPr="00E06F8B">
        <w:t>most</w:t>
      </w:r>
      <w:r w:rsidR="000E4CF5">
        <w:t xml:space="preserve"> </w:t>
      </w:r>
      <w:r w:rsidRPr="00E06F8B">
        <w:t>popular</w:t>
      </w:r>
      <w:r w:rsidR="000E4CF5">
        <w:t xml:space="preserve"> </w:t>
      </w:r>
      <w:r w:rsidRPr="00E06F8B">
        <w:t>or</w:t>
      </w:r>
      <w:r w:rsidR="000E4CF5">
        <w:t xml:space="preserve"> </w:t>
      </w:r>
      <w:r w:rsidRPr="00E06F8B">
        <w:t>well-known</w:t>
      </w:r>
      <w:r w:rsidR="000E4CF5">
        <w:t xml:space="preserve"> </w:t>
      </w:r>
      <w:r w:rsidRPr="00E06F8B">
        <w:t>among</w:t>
      </w:r>
      <w:r w:rsidR="000E4CF5">
        <w:t xml:space="preserve"> </w:t>
      </w:r>
      <w:r w:rsidRPr="00E06F8B">
        <w:t>teachers.</w:t>
      </w:r>
      <w:r w:rsidR="000E4CF5">
        <w:t xml:space="preserve"> </w:t>
      </w:r>
      <w:r w:rsidRPr="00E06F8B">
        <w:t>The</w:t>
      </w:r>
      <w:r w:rsidR="000E4CF5">
        <w:t xml:space="preserve"> </w:t>
      </w:r>
      <w:r w:rsidRPr="00E06F8B">
        <w:t>scale</w:t>
      </w:r>
      <w:r w:rsidR="000E4CF5">
        <w:t xml:space="preserve"> </w:t>
      </w:r>
      <w:r w:rsidRPr="00E06F8B">
        <w:t>comprising</w:t>
      </w:r>
      <w:r w:rsidR="000E4CF5">
        <w:t xml:space="preserve"> </w:t>
      </w:r>
      <w:r w:rsidRPr="00E06F8B">
        <w:t>of</w:t>
      </w:r>
      <w:r w:rsidR="000E4CF5">
        <w:t xml:space="preserve"> </w:t>
      </w:r>
      <w:r w:rsidRPr="00E06F8B">
        <w:t>the</w:t>
      </w:r>
      <w:r w:rsidR="000E4CF5">
        <w:t xml:space="preserve"> </w:t>
      </w:r>
      <w:r w:rsidRPr="00E06F8B">
        <w:t>selected</w:t>
      </w:r>
      <w:r w:rsidR="000E4CF5">
        <w:t xml:space="preserve"> </w:t>
      </w:r>
      <w:r w:rsidRPr="00E06F8B">
        <w:t>ten</w:t>
      </w:r>
      <w:r w:rsidR="000E4CF5">
        <w:t xml:space="preserve"> </w:t>
      </w:r>
      <w:r w:rsidRPr="00E06F8B">
        <w:t>items</w:t>
      </w:r>
      <w:r w:rsidR="000E4CF5">
        <w:t xml:space="preserve"> </w:t>
      </w:r>
      <w:r w:rsidRPr="00E06F8B">
        <w:t>had</w:t>
      </w:r>
      <w:r w:rsidR="000E4CF5">
        <w:t xml:space="preserve"> </w:t>
      </w:r>
      <w:r w:rsidRPr="00E06F8B">
        <w:t>good</w:t>
      </w:r>
      <w:r w:rsidR="000E4CF5">
        <w:t xml:space="preserve"> </w:t>
      </w:r>
      <w:r w:rsidRPr="00E06F8B">
        <w:t>reliability/internal</w:t>
      </w:r>
      <w:r w:rsidR="000E4CF5">
        <w:t xml:space="preserve"> </w:t>
      </w:r>
      <w:r w:rsidRPr="00E06F8B">
        <w:t>consistency</w:t>
      </w:r>
      <w:r w:rsidR="000E4CF5">
        <w:t xml:space="preserve"> </w:t>
      </w:r>
      <w:r w:rsidRPr="00E06F8B">
        <w:t>(</w:t>
      </w:r>
      <w:r w:rsidRPr="00E06F8B">
        <w:sym w:font="Symbol" w:char="F061"/>
      </w:r>
      <w:r w:rsidR="000E4CF5">
        <w:t xml:space="preserve"> </w:t>
      </w:r>
      <w:r w:rsidR="009C01C8">
        <w:t>= 0.</w:t>
      </w:r>
      <w:r w:rsidRPr="00E06F8B">
        <w:t>92).</w:t>
      </w:r>
    </w:p>
    <w:p w14:paraId="1E72DC36" w14:textId="77777777" w:rsidR="007D04A1" w:rsidRPr="00E06F8B" w:rsidRDefault="007D04A1" w:rsidP="00E41DCE">
      <w:pPr>
        <w:pStyle w:val="BodyTextFirstIndent"/>
      </w:pPr>
      <w:r w:rsidRPr="00E06F8B">
        <w:t>All</w:t>
      </w:r>
      <w:r w:rsidR="000E4CF5">
        <w:t xml:space="preserve"> </w:t>
      </w:r>
      <w:r w:rsidRPr="00E06F8B">
        <w:t>the</w:t>
      </w:r>
      <w:r w:rsidR="000E4CF5">
        <w:t xml:space="preserve"> </w:t>
      </w:r>
      <w:r w:rsidRPr="00E06F8B">
        <w:t>scales</w:t>
      </w:r>
      <w:r w:rsidR="000E4CF5">
        <w:t xml:space="preserve"> </w:t>
      </w:r>
      <w:r w:rsidRPr="00E06F8B">
        <w:t>required</w:t>
      </w:r>
      <w:r w:rsidR="000E4CF5">
        <w:t xml:space="preserve"> </w:t>
      </w:r>
      <w:r w:rsidRPr="00E06F8B">
        <w:t>the</w:t>
      </w:r>
      <w:r w:rsidR="000E4CF5">
        <w:t xml:space="preserve"> </w:t>
      </w:r>
      <w:r w:rsidRPr="00E06F8B">
        <w:t>participants</w:t>
      </w:r>
      <w:r w:rsidR="000E4CF5">
        <w:t xml:space="preserve"> </w:t>
      </w:r>
      <w:r w:rsidRPr="00E06F8B">
        <w:t>to</w:t>
      </w:r>
      <w:r w:rsidR="000E4CF5">
        <w:t xml:space="preserve"> </w:t>
      </w:r>
      <w:r w:rsidRPr="00E06F8B">
        <w:t>indicate</w:t>
      </w:r>
      <w:r w:rsidR="000E4CF5">
        <w:t xml:space="preserve"> </w:t>
      </w:r>
      <w:r w:rsidRPr="00E06F8B">
        <w:t>the</w:t>
      </w:r>
      <w:r w:rsidR="000E4CF5">
        <w:t xml:space="preserve"> </w:t>
      </w:r>
      <w:r w:rsidRPr="00E06F8B">
        <w:t>degree</w:t>
      </w:r>
      <w:r w:rsidR="000E4CF5">
        <w:t xml:space="preserve"> </w:t>
      </w:r>
      <w:r w:rsidRPr="00E06F8B">
        <w:t>of</w:t>
      </w:r>
      <w:r w:rsidR="000E4CF5">
        <w:t xml:space="preserve"> </w:t>
      </w:r>
      <w:r w:rsidRPr="00E06F8B">
        <w:t>their</w:t>
      </w:r>
      <w:r w:rsidR="000E4CF5">
        <w:t xml:space="preserve"> </w:t>
      </w:r>
      <w:r w:rsidRPr="00E06F8B">
        <w:t>agreement</w:t>
      </w:r>
      <w:r w:rsidR="000E4CF5">
        <w:t xml:space="preserve"> </w:t>
      </w:r>
      <w:r w:rsidRPr="00E06F8B">
        <w:t>with</w:t>
      </w:r>
      <w:r w:rsidR="000E4CF5">
        <w:t xml:space="preserve"> </w:t>
      </w:r>
      <w:r w:rsidRPr="00E06F8B">
        <w:t>the</w:t>
      </w:r>
      <w:r w:rsidR="000E4CF5">
        <w:t xml:space="preserve"> </w:t>
      </w:r>
      <w:r w:rsidRPr="00E06F8B">
        <w:t>items</w:t>
      </w:r>
      <w:r w:rsidR="000E4CF5">
        <w:t xml:space="preserve"> </w:t>
      </w:r>
      <w:r w:rsidRPr="00E06F8B">
        <w:t>using</w:t>
      </w:r>
      <w:r w:rsidR="000E4CF5">
        <w:t xml:space="preserve"> </w:t>
      </w:r>
      <w:r w:rsidRPr="00E06F8B">
        <w:t>a</w:t>
      </w:r>
      <w:r w:rsidR="000E4CF5">
        <w:t xml:space="preserve"> </w:t>
      </w:r>
      <w:r w:rsidRPr="00E06F8B">
        <w:t>scale</w:t>
      </w:r>
      <w:r w:rsidR="000E4CF5">
        <w:t xml:space="preserve"> </w:t>
      </w:r>
      <w:r w:rsidRPr="00E06F8B">
        <w:t>from</w:t>
      </w:r>
      <w:r w:rsidR="000E4CF5">
        <w:t xml:space="preserve"> </w:t>
      </w:r>
      <w:r w:rsidRPr="00E06F8B">
        <w:t>1</w:t>
      </w:r>
      <w:r w:rsidR="000E4CF5">
        <w:t xml:space="preserve"> </w:t>
      </w:r>
      <w:r w:rsidRPr="00E06F8B">
        <w:t>(</w:t>
      </w:r>
      <w:r w:rsidRPr="00E06F8B">
        <w:rPr>
          <w:i/>
        </w:rPr>
        <w:t>strongly</w:t>
      </w:r>
      <w:r w:rsidR="000E4CF5">
        <w:rPr>
          <w:i/>
        </w:rPr>
        <w:t xml:space="preserve"> </w:t>
      </w:r>
      <w:r w:rsidRPr="00E06F8B">
        <w:rPr>
          <w:i/>
        </w:rPr>
        <w:t>disagree</w:t>
      </w:r>
      <w:r w:rsidRPr="00E06F8B">
        <w:t>)</w:t>
      </w:r>
      <w:r w:rsidR="000E4CF5">
        <w:t xml:space="preserve"> </w:t>
      </w:r>
      <w:r w:rsidRPr="00E06F8B">
        <w:t>to</w:t>
      </w:r>
      <w:r w:rsidR="000E4CF5">
        <w:t xml:space="preserve"> </w:t>
      </w:r>
      <w:r w:rsidRPr="00E06F8B">
        <w:t>5</w:t>
      </w:r>
      <w:r w:rsidR="000E4CF5">
        <w:t xml:space="preserve"> </w:t>
      </w:r>
      <w:r w:rsidRPr="00E06F8B">
        <w:t>(</w:t>
      </w:r>
      <w:r w:rsidRPr="00E06F8B">
        <w:rPr>
          <w:i/>
        </w:rPr>
        <w:t>strongly</w:t>
      </w:r>
      <w:r w:rsidR="000E4CF5">
        <w:rPr>
          <w:i/>
        </w:rPr>
        <w:t xml:space="preserve"> </w:t>
      </w:r>
      <w:r w:rsidRPr="00E06F8B">
        <w:rPr>
          <w:i/>
        </w:rPr>
        <w:t>agree</w:t>
      </w:r>
      <w:r w:rsidRPr="00E06F8B">
        <w:t>).</w:t>
      </w:r>
      <w:r w:rsidR="000E4CF5">
        <w:t xml:space="preserve"> </w:t>
      </w:r>
      <w:r w:rsidRPr="00E06F8B">
        <w:t>All</w:t>
      </w:r>
      <w:r w:rsidR="000E4CF5">
        <w:t xml:space="preserve"> </w:t>
      </w:r>
      <w:r w:rsidRPr="00E06F8B">
        <w:t>the</w:t>
      </w:r>
      <w:r w:rsidR="000E4CF5">
        <w:t xml:space="preserve"> </w:t>
      </w:r>
      <w:r w:rsidRPr="00E06F8B">
        <w:t>items</w:t>
      </w:r>
      <w:r w:rsidR="000E4CF5">
        <w:t xml:space="preserve"> </w:t>
      </w:r>
      <w:r w:rsidRPr="00E06F8B">
        <w:t>were</w:t>
      </w:r>
      <w:r w:rsidR="000E4CF5">
        <w:t xml:space="preserve"> </w:t>
      </w:r>
      <w:r w:rsidRPr="00E06F8B">
        <w:t>written</w:t>
      </w:r>
      <w:r w:rsidR="000E4CF5">
        <w:t xml:space="preserve"> </w:t>
      </w:r>
      <w:r w:rsidRPr="00E06F8B">
        <w:t>in</w:t>
      </w:r>
      <w:r w:rsidR="000E4CF5">
        <w:t xml:space="preserve"> </w:t>
      </w:r>
      <w:r w:rsidRPr="00E06F8B">
        <w:t>Ilocano,</w:t>
      </w:r>
      <w:r w:rsidR="000E4CF5">
        <w:t xml:space="preserve"> </w:t>
      </w:r>
      <w:r w:rsidRPr="00E06F8B">
        <w:t>the</w:t>
      </w:r>
      <w:r w:rsidR="000E4CF5">
        <w:t xml:space="preserve"> </w:t>
      </w:r>
      <w:r w:rsidRPr="00E06F8B">
        <w:t>first</w:t>
      </w:r>
      <w:r w:rsidR="000E4CF5">
        <w:t xml:space="preserve"> </w:t>
      </w:r>
      <w:r w:rsidRPr="00E06F8B">
        <w:t>language</w:t>
      </w:r>
      <w:r w:rsidR="000E4CF5">
        <w:t xml:space="preserve"> </w:t>
      </w:r>
      <w:r w:rsidRPr="00E06F8B">
        <w:t>of</w:t>
      </w:r>
      <w:r w:rsidR="000E4CF5">
        <w:t xml:space="preserve"> </w:t>
      </w:r>
      <w:r w:rsidRPr="00E06F8B">
        <w:t>all</w:t>
      </w:r>
      <w:r w:rsidR="000E4CF5">
        <w:t xml:space="preserve"> </w:t>
      </w:r>
      <w:r w:rsidRPr="00E06F8B">
        <w:t>the</w:t>
      </w:r>
      <w:r w:rsidR="000E4CF5">
        <w:t xml:space="preserve"> </w:t>
      </w:r>
      <w:r w:rsidRPr="00E06F8B">
        <w:t>participants.</w:t>
      </w:r>
    </w:p>
    <w:p w14:paraId="3776BAB1" w14:textId="77777777" w:rsidR="007D04A1" w:rsidRPr="00E06F8B" w:rsidRDefault="007D04A1" w:rsidP="00E41DCE">
      <w:pPr>
        <w:pStyle w:val="Heading1"/>
      </w:pPr>
      <w:r w:rsidRPr="00E06F8B">
        <w:t>Results</w:t>
      </w:r>
    </w:p>
    <w:p w14:paraId="60E4DF2E" w14:textId="55D93674" w:rsidR="007D04A1" w:rsidRPr="00E06F8B" w:rsidRDefault="007D04A1" w:rsidP="004A51F2">
      <w:r w:rsidRPr="00E06F8B">
        <w:t>We</w:t>
      </w:r>
      <w:r w:rsidR="000E4CF5">
        <w:t xml:space="preserve"> </w:t>
      </w:r>
      <w:r w:rsidRPr="00E06F8B">
        <w:t>predicted</w:t>
      </w:r>
      <w:r w:rsidR="000E4CF5">
        <w:t xml:space="preserve"> </w:t>
      </w:r>
      <w:r w:rsidRPr="00E06F8B">
        <w:t>that</w:t>
      </w:r>
      <w:r w:rsidR="000E4CF5">
        <w:t xml:space="preserve"> </w:t>
      </w:r>
      <w:r w:rsidRPr="00E06F8B">
        <w:t>different</w:t>
      </w:r>
      <w:r w:rsidR="000E4CF5">
        <w:t xml:space="preserve"> </w:t>
      </w:r>
      <w:r w:rsidRPr="00E06F8B">
        <w:t>levels</w:t>
      </w:r>
      <w:r w:rsidR="000E4CF5">
        <w:t xml:space="preserve"> </w:t>
      </w:r>
      <w:r w:rsidRPr="00E06F8B">
        <w:t>of</w:t>
      </w:r>
      <w:r w:rsidR="000E4CF5">
        <w:t xml:space="preserve"> </w:t>
      </w:r>
      <w:r w:rsidRPr="00E06F8B">
        <w:t>science</w:t>
      </w:r>
      <w:r w:rsidR="000E4CF5">
        <w:t xml:space="preserve"> </w:t>
      </w:r>
      <w:r w:rsidRPr="00E06F8B">
        <w:t>coursework</w:t>
      </w:r>
      <w:r w:rsidR="000E4CF5">
        <w:t xml:space="preserve"> </w:t>
      </w:r>
      <w:r w:rsidRPr="00E06F8B">
        <w:t>would</w:t>
      </w:r>
      <w:r w:rsidR="000E4CF5">
        <w:t xml:space="preserve"> </w:t>
      </w:r>
      <w:r w:rsidRPr="00E06F8B">
        <w:t>be</w:t>
      </w:r>
      <w:r w:rsidR="000E4CF5">
        <w:t xml:space="preserve"> </w:t>
      </w:r>
      <w:r w:rsidRPr="00E06F8B">
        <w:t>assoc</w:t>
      </w:r>
      <w:r w:rsidRPr="00E06F8B">
        <w:t>i</w:t>
      </w:r>
      <w:r w:rsidRPr="00E06F8B">
        <w:t>ated</w:t>
      </w:r>
      <w:r w:rsidR="000E4CF5">
        <w:t xml:space="preserve"> </w:t>
      </w:r>
      <w:r w:rsidRPr="00E06F8B">
        <w:t>with</w:t>
      </w:r>
      <w:r w:rsidR="000E4CF5">
        <w:t xml:space="preserve"> </w:t>
      </w:r>
      <w:r w:rsidRPr="00E06F8B">
        <w:t>different</w:t>
      </w:r>
      <w:r w:rsidR="000E4CF5">
        <w:t xml:space="preserve"> </w:t>
      </w:r>
      <w:r w:rsidRPr="00E06F8B">
        <w:t>patterns</w:t>
      </w:r>
      <w:r w:rsidR="000E4CF5">
        <w:t xml:space="preserve"> </w:t>
      </w:r>
      <w:r w:rsidRPr="00E06F8B">
        <w:t>of</w:t>
      </w:r>
      <w:r w:rsidR="000E4CF5">
        <w:t xml:space="preserve"> </w:t>
      </w:r>
      <w:r w:rsidRPr="00E06F8B">
        <w:t>endorsement</w:t>
      </w:r>
      <w:r w:rsidR="000E4CF5">
        <w:t xml:space="preserve"> </w:t>
      </w:r>
      <w:r w:rsidRPr="00E06F8B">
        <w:t>of</w:t>
      </w:r>
      <w:r w:rsidR="000E4CF5">
        <w:t xml:space="preserve"> </w:t>
      </w:r>
      <w:r w:rsidRPr="00E06F8B">
        <w:t>different</w:t>
      </w:r>
      <w:r w:rsidR="000E4CF5">
        <w:t xml:space="preserve"> </w:t>
      </w:r>
      <w:r w:rsidRPr="00E06F8B">
        <w:t>pedagogical</w:t>
      </w:r>
      <w:r w:rsidR="000E4CF5">
        <w:t xml:space="preserve"> </w:t>
      </w:r>
      <w:r w:rsidRPr="00E06F8B">
        <w:t>b</w:t>
      </w:r>
      <w:r w:rsidRPr="00E06F8B">
        <w:t>e</w:t>
      </w:r>
      <w:r w:rsidRPr="00E06F8B">
        <w:t>liefs</w:t>
      </w:r>
      <w:r w:rsidR="000E4CF5">
        <w:t xml:space="preserve"> </w:t>
      </w:r>
      <w:r w:rsidRPr="00E06F8B">
        <w:t>and</w:t>
      </w:r>
      <w:r w:rsidR="000E4CF5">
        <w:t xml:space="preserve"> </w:t>
      </w:r>
      <w:r w:rsidRPr="00E06F8B">
        <w:t>cultural</w:t>
      </w:r>
      <w:r w:rsidR="000E4CF5">
        <w:t xml:space="preserve"> </w:t>
      </w:r>
      <w:r w:rsidRPr="00E06F8B">
        <w:t>beliefs.</w:t>
      </w:r>
      <w:r w:rsidR="000E4CF5">
        <w:t xml:space="preserve"> </w:t>
      </w:r>
      <w:r w:rsidRPr="00E06F8B">
        <w:t>We</w:t>
      </w:r>
      <w:r w:rsidR="000E4CF5">
        <w:t xml:space="preserve"> </w:t>
      </w:r>
      <w:r w:rsidRPr="00E06F8B">
        <w:t>tested</w:t>
      </w:r>
      <w:r w:rsidR="000E4CF5">
        <w:t xml:space="preserve"> </w:t>
      </w:r>
      <w:r w:rsidRPr="00E06F8B">
        <w:t>this</w:t>
      </w:r>
      <w:r w:rsidR="000E4CF5">
        <w:t xml:space="preserve"> </w:t>
      </w:r>
      <w:r w:rsidRPr="00E06F8B">
        <w:t>prediction</w:t>
      </w:r>
      <w:r w:rsidR="000E4CF5">
        <w:t xml:space="preserve"> </w:t>
      </w:r>
      <w:r w:rsidRPr="00E06F8B">
        <w:t>in</w:t>
      </w:r>
      <w:r w:rsidR="000E4CF5">
        <w:t xml:space="preserve"> </w:t>
      </w:r>
      <w:r w:rsidRPr="00E06F8B">
        <w:t>two</w:t>
      </w:r>
      <w:r w:rsidR="000E4CF5">
        <w:t xml:space="preserve"> </w:t>
      </w:r>
      <w:r w:rsidRPr="00E06F8B">
        <w:t>ways,</w:t>
      </w:r>
      <w:r w:rsidR="000E4CF5">
        <w:t xml:space="preserve"> </w:t>
      </w:r>
      <w:r w:rsidRPr="00E06F8B">
        <w:t>first,</w:t>
      </w:r>
      <w:r w:rsidR="000E4CF5">
        <w:t xml:space="preserve"> </w:t>
      </w:r>
      <w:r w:rsidRPr="00E06F8B">
        <w:t>by</w:t>
      </w:r>
      <w:r w:rsidR="000E4CF5">
        <w:t xml:space="preserve"> </w:t>
      </w:r>
      <w:r w:rsidRPr="00E06F8B">
        <w:t>comparing</w:t>
      </w:r>
      <w:r w:rsidR="000E4CF5">
        <w:t xml:space="preserve"> </w:t>
      </w:r>
      <w:r w:rsidRPr="00E06F8B">
        <w:t>primary</w:t>
      </w:r>
      <w:r w:rsidR="000E4CF5">
        <w:t xml:space="preserve"> </w:t>
      </w:r>
      <w:r w:rsidRPr="00E06F8B">
        <w:t>and</w:t>
      </w:r>
      <w:r w:rsidR="000E4CF5">
        <w:t xml:space="preserve"> </w:t>
      </w:r>
      <w:r w:rsidRPr="00E06F8B">
        <w:t>secondary</w:t>
      </w:r>
      <w:r w:rsidR="000E4CF5">
        <w:t xml:space="preserve"> </w:t>
      </w:r>
      <w:r w:rsidRPr="00E06F8B">
        <w:t>school</w:t>
      </w:r>
      <w:r w:rsidR="000E4CF5">
        <w:t xml:space="preserve"> </w:t>
      </w:r>
      <w:r w:rsidRPr="00E06F8B">
        <w:t>teachers,</w:t>
      </w:r>
      <w:r w:rsidR="000E4CF5">
        <w:t xml:space="preserve"> </w:t>
      </w:r>
      <w:r w:rsidRPr="00E06F8B">
        <w:t>then,</w:t>
      </w:r>
      <w:r w:rsidR="000E4CF5">
        <w:t xml:space="preserve"> </w:t>
      </w:r>
      <w:r w:rsidRPr="00E06F8B">
        <w:t>by</w:t>
      </w:r>
      <w:r w:rsidR="000E4CF5">
        <w:t xml:space="preserve"> </w:t>
      </w:r>
      <w:r w:rsidRPr="00E06F8B">
        <w:t>comparing</w:t>
      </w:r>
      <w:r w:rsidR="000E4CF5">
        <w:t xml:space="preserve"> </w:t>
      </w:r>
      <w:r w:rsidRPr="00E06F8B">
        <w:t>science</w:t>
      </w:r>
      <w:r w:rsidR="000E4CF5">
        <w:t xml:space="preserve"> </w:t>
      </w:r>
      <w:r w:rsidRPr="00E06F8B">
        <w:t>majors</w:t>
      </w:r>
      <w:r w:rsidR="000E4CF5">
        <w:t xml:space="preserve"> </w:t>
      </w:r>
      <w:r w:rsidRPr="00E06F8B">
        <w:t>and</w:t>
      </w:r>
      <w:r w:rsidR="000E4CF5">
        <w:t xml:space="preserve"> </w:t>
      </w:r>
      <w:r w:rsidRPr="00E06F8B">
        <w:t>non-science</w:t>
      </w:r>
      <w:r w:rsidR="000E4CF5">
        <w:t xml:space="preserve"> </w:t>
      </w:r>
      <w:r w:rsidRPr="00E06F8B">
        <w:t>majors.</w:t>
      </w:r>
      <w:r w:rsidR="000E4CF5">
        <w:t xml:space="preserve"> </w:t>
      </w:r>
      <w:r w:rsidRPr="00E06F8B">
        <w:t>Both</w:t>
      </w:r>
      <w:r w:rsidR="000E4CF5">
        <w:t xml:space="preserve"> </w:t>
      </w:r>
      <w:r w:rsidRPr="00E06F8B">
        <w:t>comparisons</w:t>
      </w:r>
      <w:r w:rsidR="000E4CF5">
        <w:t xml:space="preserve"> </w:t>
      </w:r>
      <w:r w:rsidRPr="00E06F8B">
        <w:t>revealed</w:t>
      </w:r>
      <w:r w:rsidR="000E4CF5">
        <w:t xml:space="preserve"> </w:t>
      </w:r>
      <w:r w:rsidRPr="00E06F8B">
        <w:t>di</w:t>
      </w:r>
      <w:r w:rsidRPr="00E06F8B">
        <w:t>f</w:t>
      </w:r>
      <w:r w:rsidRPr="00E06F8B">
        <w:t>ferences</w:t>
      </w:r>
      <w:r w:rsidR="000E4CF5">
        <w:t xml:space="preserve"> </w:t>
      </w:r>
      <w:r w:rsidRPr="00E06F8B">
        <w:t>consistent</w:t>
      </w:r>
      <w:r w:rsidR="000E4CF5">
        <w:t xml:space="preserve"> </w:t>
      </w:r>
      <w:r w:rsidRPr="00E06F8B">
        <w:t>with</w:t>
      </w:r>
      <w:r w:rsidR="000E4CF5">
        <w:t xml:space="preserve"> </w:t>
      </w:r>
      <w:r w:rsidRPr="00E06F8B">
        <w:t>the</w:t>
      </w:r>
      <w:r w:rsidR="000E4CF5">
        <w:t xml:space="preserve"> </w:t>
      </w:r>
      <w:r w:rsidRPr="00E06F8B">
        <w:t>predictions.</w:t>
      </w:r>
    </w:p>
    <w:p w14:paraId="4752E178" w14:textId="77777777" w:rsidR="007D04A1" w:rsidRPr="00E06F8B" w:rsidRDefault="007D04A1" w:rsidP="00E41DCE">
      <w:pPr>
        <w:pStyle w:val="BodyTextFirstIndent"/>
      </w:pPr>
      <w:r w:rsidRPr="00E06F8B">
        <w:t>In</w:t>
      </w:r>
      <w:r w:rsidR="000E4CF5">
        <w:t xml:space="preserve"> </w:t>
      </w:r>
      <w:r w:rsidRPr="00E06F8B">
        <w:t>general,</w:t>
      </w:r>
      <w:r w:rsidR="000E4CF5">
        <w:t xml:space="preserve"> </w:t>
      </w:r>
      <w:r w:rsidRPr="00E06F8B">
        <w:t>secondary</w:t>
      </w:r>
      <w:r w:rsidR="000E4CF5">
        <w:t xml:space="preserve"> </w:t>
      </w:r>
      <w:r w:rsidRPr="00E06F8B">
        <w:t>school</w:t>
      </w:r>
      <w:r w:rsidR="000E4CF5">
        <w:t xml:space="preserve"> </w:t>
      </w:r>
      <w:r w:rsidRPr="00E06F8B">
        <w:t>science</w:t>
      </w:r>
      <w:r w:rsidR="000E4CF5">
        <w:t xml:space="preserve"> </w:t>
      </w:r>
      <w:r w:rsidRPr="00E06F8B">
        <w:t>teachers</w:t>
      </w:r>
      <w:r w:rsidR="000E4CF5">
        <w:t xml:space="preserve"> </w:t>
      </w:r>
      <w:r w:rsidRPr="00E06F8B">
        <w:t>in</w:t>
      </w:r>
      <w:r w:rsidR="000E4CF5">
        <w:t xml:space="preserve"> </w:t>
      </w:r>
      <w:r w:rsidRPr="00E06F8B">
        <w:t>the</w:t>
      </w:r>
      <w:r w:rsidR="000E4CF5">
        <w:t xml:space="preserve"> </w:t>
      </w:r>
      <w:r w:rsidRPr="00E06F8B">
        <w:t>Philippine</w:t>
      </w:r>
      <w:r w:rsidR="000E4CF5">
        <w:t xml:space="preserve"> </w:t>
      </w:r>
      <w:r w:rsidRPr="00E06F8B">
        <w:t>are</w:t>
      </w:r>
      <w:r w:rsidR="000E4CF5">
        <w:t xml:space="preserve"> </w:t>
      </w:r>
      <w:r w:rsidRPr="00E06F8B">
        <w:t>r</w:t>
      </w:r>
      <w:r w:rsidRPr="00E06F8B">
        <w:t>e</w:t>
      </w:r>
      <w:r w:rsidRPr="00E06F8B">
        <w:t>quired</w:t>
      </w:r>
      <w:r w:rsidR="000E4CF5">
        <w:t xml:space="preserve"> </w:t>
      </w:r>
      <w:r w:rsidRPr="00E06F8B">
        <w:t>to</w:t>
      </w:r>
      <w:r w:rsidR="000E4CF5">
        <w:t xml:space="preserve"> </w:t>
      </w:r>
      <w:r w:rsidRPr="00E06F8B">
        <w:t>take</w:t>
      </w:r>
      <w:r w:rsidR="000E4CF5">
        <w:t xml:space="preserve"> </w:t>
      </w:r>
      <w:r w:rsidRPr="00E06F8B">
        <w:t>more</w:t>
      </w:r>
      <w:r w:rsidR="000E4CF5">
        <w:t xml:space="preserve"> </w:t>
      </w:r>
      <w:r w:rsidRPr="00E06F8B">
        <w:t>college</w:t>
      </w:r>
      <w:r w:rsidR="000E4CF5">
        <w:t xml:space="preserve"> </w:t>
      </w:r>
      <w:r w:rsidRPr="00E06F8B">
        <w:t>courses</w:t>
      </w:r>
      <w:r w:rsidR="000E4CF5">
        <w:t xml:space="preserve"> </w:t>
      </w:r>
      <w:r w:rsidRPr="00E06F8B">
        <w:t>in</w:t>
      </w:r>
      <w:r w:rsidR="000E4CF5">
        <w:t xml:space="preserve"> </w:t>
      </w:r>
      <w:r w:rsidRPr="00E06F8B">
        <w:t>science</w:t>
      </w:r>
      <w:r w:rsidR="000E4CF5">
        <w:t xml:space="preserve"> </w:t>
      </w:r>
      <w:r w:rsidRPr="00E06F8B">
        <w:t>compared</w:t>
      </w:r>
      <w:r w:rsidR="000E4CF5">
        <w:t xml:space="preserve"> </w:t>
      </w:r>
      <w:r w:rsidRPr="00E06F8B">
        <w:t>to</w:t>
      </w:r>
      <w:r w:rsidR="000E4CF5">
        <w:t xml:space="preserve"> </w:t>
      </w:r>
      <w:r w:rsidRPr="00E06F8B">
        <w:t>primary</w:t>
      </w:r>
      <w:r w:rsidR="000E4CF5">
        <w:t xml:space="preserve"> </w:t>
      </w:r>
      <w:r w:rsidRPr="00E06F8B">
        <w:t>school</w:t>
      </w:r>
      <w:r w:rsidR="000E4CF5">
        <w:t xml:space="preserve"> </w:t>
      </w:r>
      <w:r w:rsidRPr="00E06F8B">
        <w:t>science</w:t>
      </w:r>
      <w:r w:rsidR="000E4CF5">
        <w:t xml:space="preserve"> </w:t>
      </w:r>
      <w:r w:rsidRPr="00E06F8B">
        <w:t>teachers.</w:t>
      </w:r>
      <w:r w:rsidR="000E4CF5">
        <w:t xml:space="preserve"> </w:t>
      </w:r>
      <w:r w:rsidRPr="00E06F8B">
        <w:t>This</w:t>
      </w:r>
      <w:r w:rsidR="000E4CF5">
        <w:t xml:space="preserve"> </w:t>
      </w:r>
      <w:r w:rsidRPr="00E06F8B">
        <w:t>difference</w:t>
      </w:r>
      <w:r w:rsidR="000E4CF5">
        <w:t xml:space="preserve"> </w:t>
      </w:r>
      <w:r w:rsidRPr="00E06F8B">
        <w:t>seems</w:t>
      </w:r>
      <w:r w:rsidR="000E4CF5">
        <w:t xml:space="preserve"> </w:t>
      </w:r>
      <w:r w:rsidRPr="00E06F8B">
        <w:t>to</w:t>
      </w:r>
      <w:r w:rsidR="000E4CF5">
        <w:t xml:space="preserve"> </w:t>
      </w:r>
      <w:r w:rsidRPr="00E06F8B">
        <w:t>have</w:t>
      </w:r>
      <w:r w:rsidR="000E4CF5">
        <w:t xml:space="preserve"> </w:t>
      </w:r>
      <w:r w:rsidRPr="00E06F8B">
        <w:t>an</w:t>
      </w:r>
      <w:r w:rsidR="000E4CF5">
        <w:t xml:space="preserve"> </w:t>
      </w:r>
      <w:r w:rsidRPr="00E06F8B">
        <w:t>impact</w:t>
      </w:r>
      <w:r w:rsidR="000E4CF5">
        <w:t xml:space="preserve"> </w:t>
      </w:r>
      <w:r w:rsidRPr="00E06F8B">
        <w:t>on</w:t>
      </w:r>
      <w:r w:rsidR="000E4CF5">
        <w:t xml:space="preserve"> </w:t>
      </w:r>
      <w:r w:rsidRPr="00E06F8B">
        <w:t>the</w:t>
      </w:r>
      <w:r w:rsidR="000E4CF5">
        <w:t xml:space="preserve"> </w:t>
      </w:r>
      <w:r w:rsidRPr="00E06F8B">
        <w:t>beliefs</w:t>
      </w:r>
      <w:r w:rsidR="000E4CF5">
        <w:t xml:space="preserve"> </w:t>
      </w:r>
      <w:r w:rsidRPr="00E06F8B">
        <w:t>they</w:t>
      </w:r>
      <w:r w:rsidR="000E4CF5">
        <w:t xml:space="preserve"> </w:t>
      </w:r>
      <w:r w:rsidRPr="00E06F8B">
        <w:t>have</w:t>
      </w:r>
      <w:r w:rsidR="000E4CF5">
        <w:t xml:space="preserve"> </w:t>
      </w:r>
      <w:r w:rsidRPr="00E06F8B">
        <w:t>as</w:t>
      </w:r>
      <w:r w:rsidR="000E4CF5">
        <w:t xml:space="preserve"> </w:t>
      </w:r>
      <w:r w:rsidRPr="00E06F8B">
        <w:t>teachers.</w:t>
      </w:r>
      <w:r w:rsidR="000E4CF5">
        <w:t xml:space="preserve"> </w:t>
      </w:r>
      <w:r w:rsidRPr="00E06F8B">
        <w:t>As</w:t>
      </w:r>
      <w:r w:rsidR="000E4CF5">
        <w:t xml:space="preserve"> </w:t>
      </w:r>
      <w:r w:rsidRPr="00E06F8B">
        <w:t>shown</w:t>
      </w:r>
      <w:r w:rsidR="000E4CF5">
        <w:t xml:space="preserve"> </w:t>
      </w:r>
      <w:r w:rsidRPr="00E06F8B">
        <w:t>in</w:t>
      </w:r>
      <w:r w:rsidR="000E4CF5">
        <w:t xml:space="preserve"> </w:t>
      </w:r>
      <w:r w:rsidRPr="00E06F8B">
        <w:t>Table</w:t>
      </w:r>
      <w:r w:rsidR="000E4CF5">
        <w:t xml:space="preserve"> </w:t>
      </w:r>
      <w:r w:rsidRPr="00E06F8B">
        <w:t>2,</w:t>
      </w:r>
      <w:r w:rsidR="000E4CF5">
        <w:t xml:space="preserve"> </w:t>
      </w:r>
      <w:r w:rsidRPr="00E06F8B">
        <w:t>both</w:t>
      </w:r>
      <w:r w:rsidR="000E4CF5">
        <w:t xml:space="preserve"> </w:t>
      </w:r>
      <w:r w:rsidRPr="00E06F8B">
        <w:t>primary</w:t>
      </w:r>
      <w:r w:rsidR="000E4CF5">
        <w:t xml:space="preserve"> </w:t>
      </w:r>
      <w:r w:rsidRPr="00E06F8B">
        <w:t>and</w:t>
      </w:r>
      <w:r w:rsidR="000E4CF5">
        <w:t xml:space="preserve"> </w:t>
      </w:r>
      <w:r w:rsidRPr="00E06F8B">
        <w:t>se</w:t>
      </w:r>
      <w:r w:rsidRPr="00E06F8B">
        <w:t>c</w:t>
      </w:r>
      <w:r w:rsidRPr="00E06F8B">
        <w:t>ondary</w:t>
      </w:r>
      <w:r w:rsidR="000E4CF5">
        <w:t xml:space="preserve"> </w:t>
      </w:r>
      <w:r w:rsidRPr="00E06F8B">
        <w:t>school</w:t>
      </w:r>
      <w:r w:rsidR="000E4CF5">
        <w:t xml:space="preserve"> </w:t>
      </w:r>
      <w:r w:rsidRPr="00E06F8B">
        <w:t>science</w:t>
      </w:r>
      <w:r w:rsidR="000E4CF5">
        <w:t xml:space="preserve"> </w:t>
      </w:r>
      <w:r w:rsidRPr="00E06F8B">
        <w:t>teachers</w:t>
      </w:r>
      <w:r w:rsidR="000E4CF5">
        <w:t xml:space="preserve"> </w:t>
      </w:r>
      <w:r w:rsidRPr="00E06F8B">
        <w:t>tend</w:t>
      </w:r>
      <w:r w:rsidR="000E4CF5">
        <w:t xml:space="preserve"> </w:t>
      </w:r>
      <w:r w:rsidRPr="00E06F8B">
        <w:t>to</w:t>
      </w:r>
      <w:r w:rsidR="000E4CF5">
        <w:t xml:space="preserve"> </w:t>
      </w:r>
      <w:r w:rsidRPr="00E06F8B">
        <w:t>endorse</w:t>
      </w:r>
      <w:r w:rsidR="000E4CF5">
        <w:t xml:space="preserve"> </w:t>
      </w:r>
      <w:r w:rsidRPr="00E06F8B">
        <w:t>the</w:t>
      </w:r>
      <w:r w:rsidR="000E4CF5">
        <w:t xml:space="preserve"> </w:t>
      </w:r>
      <w:r w:rsidRPr="00E06F8B">
        <w:t>learning-support</w:t>
      </w:r>
      <w:r w:rsidR="000E4CF5">
        <w:t xml:space="preserve"> </w:t>
      </w:r>
      <w:r w:rsidRPr="00E06F8B">
        <w:t>model</w:t>
      </w:r>
      <w:r w:rsidR="000E4CF5">
        <w:t xml:space="preserve"> </w:t>
      </w:r>
      <w:r w:rsidRPr="00E06F8B">
        <w:t>of</w:t>
      </w:r>
      <w:r w:rsidR="000E4CF5">
        <w:t xml:space="preserve"> </w:t>
      </w:r>
      <w:r w:rsidRPr="00E06F8B">
        <w:t>teaching,</w:t>
      </w:r>
      <w:r w:rsidR="000E4CF5">
        <w:t xml:space="preserve"> </w:t>
      </w:r>
      <w:r w:rsidRPr="00E06F8B">
        <w:t>as</w:t>
      </w:r>
      <w:r w:rsidR="000E4CF5">
        <w:t xml:space="preserve"> </w:t>
      </w:r>
      <w:r w:rsidRPr="00E06F8B">
        <w:t>the</w:t>
      </w:r>
      <w:r w:rsidR="000E4CF5">
        <w:t xml:space="preserve"> </w:t>
      </w:r>
      <w:r w:rsidRPr="00E06F8B">
        <w:t>means</w:t>
      </w:r>
      <w:r w:rsidR="000E4CF5">
        <w:t xml:space="preserve"> </w:t>
      </w:r>
      <w:r w:rsidRPr="00E06F8B">
        <w:t>are</w:t>
      </w:r>
      <w:r w:rsidR="000E4CF5">
        <w:t xml:space="preserve"> </w:t>
      </w:r>
      <w:r w:rsidRPr="00E06F8B">
        <w:t>in</w:t>
      </w:r>
      <w:r w:rsidR="000E4CF5">
        <w:t xml:space="preserve"> </w:t>
      </w:r>
      <w:r w:rsidRPr="00E06F8B">
        <w:t>the</w:t>
      </w:r>
      <w:r w:rsidR="000E4CF5">
        <w:t xml:space="preserve"> </w:t>
      </w:r>
      <w:r w:rsidRPr="00E06F8B">
        <w:t>higher</w:t>
      </w:r>
      <w:r w:rsidR="000E4CF5">
        <w:t xml:space="preserve"> </w:t>
      </w:r>
      <w:r w:rsidRPr="00E06F8B">
        <w:t>range</w:t>
      </w:r>
      <w:r w:rsidR="000E4CF5">
        <w:t xml:space="preserve"> </w:t>
      </w:r>
      <w:r w:rsidRPr="00E06F8B">
        <w:t>of</w:t>
      </w:r>
      <w:r w:rsidR="000E4CF5">
        <w:t xml:space="preserve"> </w:t>
      </w:r>
      <w:r w:rsidRPr="00E06F8B">
        <w:t>the</w:t>
      </w:r>
      <w:r w:rsidR="000E4CF5">
        <w:t xml:space="preserve"> </w:t>
      </w:r>
      <w:r w:rsidRPr="00E06F8B">
        <w:t>5-point</w:t>
      </w:r>
      <w:r w:rsidR="000E4CF5">
        <w:t xml:space="preserve"> </w:t>
      </w:r>
      <w:r w:rsidRPr="00E06F8B">
        <w:t>scale</w:t>
      </w:r>
      <w:r w:rsidR="000E4CF5">
        <w:t xml:space="preserve"> </w:t>
      </w:r>
      <w:r w:rsidRPr="00E06F8B">
        <w:t>of</w:t>
      </w:r>
      <w:r w:rsidR="000E4CF5">
        <w:t xml:space="preserve"> </w:t>
      </w:r>
      <w:r w:rsidRPr="00E06F8B">
        <w:t>agreement.</w:t>
      </w:r>
      <w:r w:rsidR="000E4CF5">
        <w:t xml:space="preserve"> </w:t>
      </w:r>
      <w:r w:rsidRPr="00E06F8B">
        <w:t>However,</w:t>
      </w:r>
      <w:r w:rsidR="000E4CF5">
        <w:t xml:space="preserve"> </w:t>
      </w:r>
      <w:r w:rsidRPr="00E06F8B">
        <w:t>the</w:t>
      </w:r>
      <w:r w:rsidR="000E4CF5">
        <w:t xml:space="preserve"> </w:t>
      </w:r>
      <w:r w:rsidRPr="00E06F8B">
        <w:t>statistical</w:t>
      </w:r>
      <w:r w:rsidR="000E4CF5">
        <w:t xml:space="preserve"> </w:t>
      </w:r>
      <w:r w:rsidRPr="00E06F8B">
        <w:t>analysis</w:t>
      </w:r>
      <w:r w:rsidR="000E4CF5">
        <w:t xml:space="preserve"> </w:t>
      </w:r>
      <w:r w:rsidRPr="00E06F8B">
        <w:t>indicated</w:t>
      </w:r>
      <w:r w:rsidR="000E4CF5">
        <w:t xml:space="preserve"> </w:t>
      </w:r>
      <w:r w:rsidRPr="00E06F8B">
        <w:t>that</w:t>
      </w:r>
      <w:r w:rsidR="000E4CF5">
        <w:t xml:space="preserve"> </w:t>
      </w:r>
      <w:r w:rsidRPr="00E06F8B">
        <w:t>secondary</w:t>
      </w:r>
      <w:r w:rsidR="000E4CF5">
        <w:t xml:space="preserve"> </w:t>
      </w:r>
      <w:r w:rsidRPr="00E06F8B">
        <w:t>school</w:t>
      </w:r>
      <w:r w:rsidR="000E4CF5">
        <w:t xml:space="preserve"> </w:t>
      </w:r>
      <w:r w:rsidRPr="00E06F8B">
        <w:t>science</w:t>
      </w:r>
      <w:r w:rsidR="000E4CF5">
        <w:t xml:space="preserve"> </w:t>
      </w:r>
      <w:r w:rsidRPr="00E06F8B">
        <w:t>teachers</w:t>
      </w:r>
      <w:r w:rsidR="000E4CF5">
        <w:t xml:space="preserve"> </w:t>
      </w:r>
      <w:r w:rsidRPr="00E06F8B">
        <w:t>are</w:t>
      </w:r>
      <w:r w:rsidR="000E4CF5">
        <w:t xml:space="preserve"> </w:t>
      </w:r>
      <w:r w:rsidRPr="00E06F8B">
        <w:t>more</w:t>
      </w:r>
      <w:r w:rsidR="000E4CF5">
        <w:t xml:space="preserve"> </w:t>
      </w:r>
      <w:r w:rsidRPr="00E06F8B">
        <w:t>likely</w:t>
      </w:r>
      <w:r w:rsidR="000E4CF5">
        <w:t xml:space="preserve"> </w:t>
      </w:r>
      <w:r w:rsidRPr="00E06F8B">
        <w:t>to</w:t>
      </w:r>
      <w:r w:rsidR="000E4CF5">
        <w:t xml:space="preserve"> </w:t>
      </w:r>
      <w:r w:rsidRPr="00E06F8B">
        <w:t>endorse</w:t>
      </w:r>
      <w:r w:rsidR="000E4CF5">
        <w:t xml:space="preserve"> </w:t>
      </w:r>
      <w:r w:rsidRPr="00E06F8B">
        <w:t>beliefs</w:t>
      </w:r>
      <w:r w:rsidR="000E4CF5">
        <w:t xml:space="preserve"> </w:t>
      </w:r>
      <w:r w:rsidRPr="00E06F8B">
        <w:t>about</w:t>
      </w:r>
      <w:r w:rsidR="000E4CF5">
        <w:t xml:space="preserve"> </w:t>
      </w:r>
      <w:r w:rsidRPr="00E06F8B">
        <w:t>teaching</w:t>
      </w:r>
      <w:r w:rsidR="000E4CF5">
        <w:t xml:space="preserve"> </w:t>
      </w:r>
      <w:r w:rsidRPr="00E06F8B">
        <w:t>as</w:t>
      </w:r>
      <w:r w:rsidR="000E4CF5">
        <w:t xml:space="preserve"> </w:t>
      </w:r>
      <w:r w:rsidRPr="00E06F8B">
        <w:t>providing</w:t>
      </w:r>
      <w:r w:rsidR="000E4CF5">
        <w:t xml:space="preserve"> </w:t>
      </w:r>
      <w:r w:rsidRPr="00E06F8B">
        <w:t>support</w:t>
      </w:r>
      <w:r w:rsidR="000E4CF5">
        <w:t xml:space="preserve"> </w:t>
      </w:r>
      <w:r w:rsidRPr="00E06F8B">
        <w:t>for</w:t>
      </w:r>
      <w:r w:rsidR="000E4CF5">
        <w:t xml:space="preserve"> </w:t>
      </w:r>
      <w:r w:rsidRPr="00E06F8B">
        <w:t>the</w:t>
      </w:r>
      <w:r w:rsidR="000E4CF5">
        <w:t xml:space="preserve"> </w:t>
      </w:r>
      <w:r w:rsidRPr="00E06F8B">
        <w:t>learning</w:t>
      </w:r>
      <w:r w:rsidR="000E4CF5">
        <w:t xml:space="preserve"> </w:t>
      </w:r>
      <w:r w:rsidRPr="00E06F8B">
        <w:t>processes</w:t>
      </w:r>
      <w:r w:rsidR="000E4CF5">
        <w:t xml:space="preserve"> </w:t>
      </w:r>
      <w:r w:rsidRPr="00E06F8B">
        <w:t>of</w:t>
      </w:r>
      <w:r w:rsidR="000E4CF5">
        <w:t xml:space="preserve"> </w:t>
      </w:r>
      <w:r w:rsidRPr="00E06F8B">
        <w:t>students.</w:t>
      </w:r>
      <w:r w:rsidR="000E4CF5">
        <w:t xml:space="preserve"> </w:t>
      </w:r>
      <w:r w:rsidRPr="00E06F8B">
        <w:t>There</w:t>
      </w:r>
      <w:r w:rsidR="000E4CF5">
        <w:t xml:space="preserve"> </w:t>
      </w:r>
      <w:r w:rsidRPr="00E06F8B">
        <w:t>is</w:t>
      </w:r>
      <w:r w:rsidR="000E4CF5">
        <w:t xml:space="preserve"> </w:t>
      </w:r>
      <w:r w:rsidRPr="00E06F8B">
        <w:t>no</w:t>
      </w:r>
      <w:r w:rsidR="000E4CF5">
        <w:t xml:space="preserve"> </w:t>
      </w:r>
      <w:r w:rsidRPr="00E06F8B">
        <w:t>statistically</w:t>
      </w:r>
      <w:r w:rsidR="000E4CF5">
        <w:t xml:space="preserve"> </w:t>
      </w:r>
      <w:r w:rsidRPr="00E06F8B">
        <w:t>significant</w:t>
      </w:r>
      <w:r w:rsidR="000E4CF5">
        <w:t xml:space="preserve"> </w:t>
      </w:r>
      <w:r w:rsidRPr="00E06F8B">
        <w:t>difference</w:t>
      </w:r>
      <w:r w:rsidR="000E4CF5">
        <w:t xml:space="preserve"> </w:t>
      </w:r>
      <w:r w:rsidRPr="00E06F8B">
        <w:t>between</w:t>
      </w:r>
      <w:r w:rsidR="000E4CF5">
        <w:t xml:space="preserve"> </w:t>
      </w:r>
      <w:r w:rsidRPr="00E06F8B">
        <w:t>the</w:t>
      </w:r>
      <w:r w:rsidR="000E4CF5">
        <w:t xml:space="preserve"> </w:t>
      </w:r>
      <w:r w:rsidRPr="00E06F8B">
        <w:t>primary</w:t>
      </w:r>
      <w:r w:rsidR="000E4CF5">
        <w:t xml:space="preserve"> </w:t>
      </w:r>
      <w:r w:rsidRPr="00E06F8B">
        <w:t>and</w:t>
      </w:r>
      <w:r w:rsidR="000E4CF5">
        <w:t xml:space="preserve"> </w:t>
      </w:r>
      <w:r w:rsidRPr="00E06F8B">
        <w:t>secondary</w:t>
      </w:r>
      <w:r w:rsidR="000E4CF5">
        <w:t xml:space="preserve"> </w:t>
      </w:r>
      <w:r w:rsidRPr="00E06F8B">
        <w:t>school</w:t>
      </w:r>
      <w:r w:rsidR="000E4CF5">
        <w:t xml:space="preserve"> </w:t>
      </w:r>
      <w:r w:rsidRPr="00E06F8B">
        <w:t>science</w:t>
      </w:r>
      <w:r w:rsidR="000E4CF5">
        <w:t xml:space="preserve"> </w:t>
      </w:r>
      <w:r w:rsidRPr="00E06F8B">
        <w:t>teachers’</w:t>
      </w:r>
      <w:r w:rsidR="000E4CF5">
        <w:t xml:space="preserve"> </w:t>
      </w:r>
      <w:r w:rsidRPr="00E06F8B">
        <w:t>endorsement</w:t>
      </w:r>
      <w:r w:rsidR="000E4CF5">
        <w:t xml:space="preserve"> </w:t>
      </w:r>
      <w:r w:rsidRPr="00E06F8B">
        <w:t>of</w:t>
      </w:r>
      <w:r w:rsidR="000E4CF5">
        <w:t xml:space="preserve"> </w:t>
      </w:r>
      <w:r w:rsidRPr="00E06F8B">
        <w:t>the</w:t>
      </w:r>
      <w:r w:rsidR="000E4CF5">
        <w:t xml:space="preserve"> </w:t>
      </w:r>
      <w:r w:rsidRPr="00E06F8B">
        <w:t>broadcast</w:t>
      </w:r>
      <w:r w:rsidR="000E4CF5">
        <w:t xml:space="preserve"> </w:t>
      </w:r>
      <w:r w:rsidRPr="00E06F8B">
        <w:t>model</w:t>
      </w:r>
      <w:r w:rsidR="000E4CF5">
        <w:t xml:space="preserve"> </w:t>
      </w:r>
      <w:r w:rsidRPr="00E06F8B">
        <w:t>of</w:t>
      </w:r>
      <w:r w:rsidR="000E4CF5">
        <w:t xml:space="preserve"> </w:t>
      </w:r>
      <w:r w:rsidRPr="00E06F8B">
        <w:t>teaching.</w:t>
      </w:r>
      <w:r w:rsidR="000E4CF5">
        <w:t xml:space="preserve"> </w:t>
      </w:r>
    </w:p>
    <w:p w14:paraId="51A098CD" w14:textId="77777777" w:rsidR="007D04A1" w:rsidRPr="00E06F8B" w:rsidRDefault="007D04A1" w:rsidP="00E41DCE">
      <w:pPr>
        <w:pStyle w:val="BodyTextFirstIndent"/>
      </w:pPr>
      <w:r w:rsidRPr="00E06F8B">
        <w:t>Table</w:t>
      </w:r>
      <w:r w:rsidR="000E4CF5">
        <w:t xml:space="preserve"> </w:t>
      </w:r>
      <w:r w:rsidRPr="00E06F8B">
        <w:t>2</w:t>
      </w:r>
      <w:r w:rsidR="000E4CF5">
        <w:t xml:space="preserve"> </w:t>
      </w:r>
      <w:r w:rsidRPr="00E06F8B">
        <w:t>also</w:t>
      </w:r>
      <w:r w:rsidR="000E4CF5">
        <w:t xml:space="preserve"> </w:t>
      </w:r>
      <w:r w:rsidRPr="00E06F8B">
        <w:t>indicates</w:t>
      </w:r>
      <w:r w:rsidR="000E4CF5">
        <w:t xml:space="preserve"> </w:t>
      </w:r>
      <w:r w:rsidRPr="00E06F8B">
        <w:t>that</w:t>
      </w:r>
      <w:r w:rsidR="000E4CF5">
        <w:t xml:space="preserve"> </w:t>
      </w:r>
      <w:r w:rsidRPr="00E06F8B">
        <w:t>the</w:t>
      </w:r>
      <w:r w:rsidR="000E4CF5">
        <w:t xml:space="preserve"> </w:t>
      </w:r>
      <w:r w:rsidRPr="00E06F8B">
        <w:t>two</w:t>
      </w:r>
      <w:r w:rsidR="000E4CF5">
        <w:t xml:space="preserve"> </w:t>
      </w:r>
      <w:r w:rsidRPr="00E06F8B">
        <w:t>groups</w:t>
      </w:r>
      <w:r w:rsidR="000E4CF5">
        <w:t xml:space="preserve"> </w:t>
      </w:r>
      <w:r w:rsidRPr="00E06F8B">
        <w:t>of</w:t>
      </w:r>
      <w:r w:rsidR="000E4CF5">
        <w:t xml:space="preserve"> </w:t>
      </w:r>
      <w:r w:rsidRPr="00E06F8B">
        <w:t>teachers</w:t>
      </w:r>
      <w:r w:rsidR="000E4CF5">
        <w:t xml:space="preserve"> </w:t>
      </w:r>
      <w:r w:rsidRPr="00E06F8B">
        <w:t>are</w:t>
      </w:r>
      <w:r w:rsidR="000E4CF5">
        <w:t xml:space="preserve"> </w:t>
      </w:r>
      <w:r w:rsidRPr="00E06F8B">
        <w:t>not</w:t>
      </w:r>
      <w:r w:rsidR="000E4CF5">
        <w:t xml:space="preserve"> </w:t>
      </w:r>
      <w:r w:rsidRPr="00E06F8B">
        <w:t>clearly</w:t>
      </w:r>
      <w:r w:rsidR="000E4CF5">
        <w:t xml:space="preserve"> </w:t>
      </w:r>
      <w:r w:rsidRPr="00E06F8B">
        <w:t>favor</w:t>
      </w:r>
      <w:r w:rsidR="000E4CF5">
        <w:t xml:space="preserve"> </w:t>
      </w:r>
      <w:r w:rsidRPr="00E06F8B">
        <w:t>either</w:t>
      </w:r>
      <w:r w:rsidR="000E4CF5">
        <w:t xml:space="preserve"> </w:t>
      </w:r>
      <w:r w:rsidRPr="00E06F8B">
        <w:t>the</w:t>
      </w:r>
      <w:r w:rsidR="000E4CF5">
        <w:t xml:space="preserve"> </w:t>
      </w:r>
      <w:r w:rsidRPr="00E06F8B">
        <w:t>ability-driven</w:t>
      </w:r>
      <w:r w:rsidR="000E4CF5">
        <w:t xml:space="preserve"> </w:t>
      </w:r>
      <w:r w:rsidRPr="00E06F8B">
        <w:t>or</w:t>
      </w:r>
      <w:r w:rsidR="000E4CF5">
        <w:t xml:space="preserve"> </w:t>
      </w:r>
      <w:r w:rsidRPr="00E06F8B">
        <w:t>effort-driven</w:t>
      </w:r>
      <w:r w:rsidR="000E4CF5">
        <w:t xml:space="preserve"> </w:t>
      </w:r>
      <w:r w:rsidRPr="00E06F8B">
        <w:t>models</w:t>
      </w:r>
      <w:r w:rsidR="000E4CF5">
        <w:t xml:space="preserve"> </w:t>
      </w:r>
      <w:r w:rsidRPr="00E06F8B">
        <w:t>of</w:t>
      </w:r>
      <w:r w:rsidR="000E4CF5">
        <w:t xml:space="preserve"> </w:t>
      </w:r>
      <w:r w:rsidRPr="00E06F8B">
        <w:t>learning,</w:t>
      </w:r>
      <w:r w:rsidR="000E4CF5">
        <w:t xml:space="preserve"> </w:t>
      </w:r>
      <w:r w:rsidRPr="00E06F8B">
        <w:t>as</w:t>
      </w:r>
      <w:r w:rsidR="000E4CF5">
        <w:t xml:space="preserve"> </w:t>
      </w:r>
      <w:r w:rsidRPr="00E06F8B">
        <w:t>the</w:t>
      </w:r>
      <w:r w:rsidR="000E4CF5">
        <w:t xml:space="preserve"> </w:t>
      </w:r>
      <w:r w:rsidRPr="00E06F8B">
        <w:t>respective</w:t>
      </w:r>
      <w:r w:rsidR="000E4CF5">
        <w:t xml:space="preserve"> </w:t>
      </w:r>
      <w:r w:rsidRPr="00E06F8B">
        <w:t>means</w:t>
      </w:r>
      <w:r w:rsidR="000E4CF5">
        <w:t xml:space="preserve"> </w:t>
      </w:r>
      <w:r w:rsidRPr="00E06F8B">
        <w:t>are</w:t>
      </w:r>
      <w:r w:rsidR="000E4CF5">
        <w:t xml:space="preserve"> </w:t>
      </w:r>
      <w:r w:rsidRPr="00E06F8B">
        <w:t>just</w:t>
      </w:r>
      <w:r w:rsidR="000E4CF5">
        <w:t xml:space="preserve"> </w:t>
      </w:r>
      <w:r w:rsidRPr="00E06F8B">
        <w:t>slightly</w:t>
      </w:r>
      <w:r w:rsidR="000E4CF5">
        <w:t xml:space="preserve"> </w:t>
      </w:r>
      <w:r w:rsidRPr="00E06F8B">
        <w:t>higher</w:t>
      </w:r>
      <w:r w:rsidR="000E4CF5">
        <w:t xml:space="preserve"> </w:t>
      </w:r>
      <w:r w:rsidRPr="00E06F8B">
        <w:t>than</w:t>
      </w:r>
      <w:r w:rsidR="000E4CF5">
        <w:t xml:space="preserve"> </w:t>
      </w:r>
      <w:r w:rsidRPr="00E06F8B">
        <w:t>the</w:t>
      </w:r>
      <w:r w:rsidR="000E4CF5">
        <w:t xml:space="preserve"> </w:t>
      </w:r>
      <w:r w:rsidRPr="00E06F8B">
        <w:t>midpoint</w:t>
      </w:r>
      <w:r w:rsidR="000E4CF5">
        <w:t xml:space="preserve"> </w:t>
      </w:r>
      <w:r w:rsidRPr="00E06F8B">
        <w:t>of</w:t>
      </w:r>
      <w:r w:rsidR="000E4CF5">
        <w:t xml:space="preserve"> </w:t>
      </w:r>
      <w:r w:rsidRPr="00E06F8B">
        <w:t>the</w:t>
      </w:r>
      <w:r w:rsidR="000E4CF5">
        <w:t xml:space="preserve"> </w:t>
      </w:r>
      <w:r w:rsidRPr="00E06F8B">
        <w:t>5-point</w:t>
      </w:r>
      <w:r w:rsidR="000E4CF5">
        <w:t xml:space="preserve"> </w:t>
      </w:r>
      <w:r w:rsidRPr="00E06F8B">
        <w:t>scale.</w:t>
      </w:r>
      <w:r w:rsidR="000E4CF5">
        <w:t xml:space="preserve"> </w:t>
      </w:r>
      <w:r w:rsidRPr="00E06F8B">
        <w:t>However,</w:t>
      </w:r>
      <w:r w:rsidR="000E4CF5">
        <w:t xml:space="preserve"> </w:t>
      </w:r>
      <w:r w:rsidRPr="00E06F8B">
        <w:t>the</w:t>
      </w:r>
      <w:r w:rsidR="000E4CF5">
        <w:t xml:space="preserve"> </w:t>
      </w:r>
      <w:r w:rsidRPr="00E06F8B">
        <w:t>statistical</w:t>
      </w:r>
      <w:r w:rsidR="000E4CF5">
        <w:t xml:space="preserve"> </w:t>
      </w:r>
      <w:r w:rsidRPr="00E06F8B">
        <w:t>tests</w:t>
      </w:r>
      <w:r w:rsidR="000E4CF5">
        <w:t xml:space="preserve"> </w:t>
      </w:r>
      <w:r w:rsidRPr="00E06F8B">
        <w:t>indicate</w:t>
      </w:r>
      <w:r w:rsidR="000E4CF5">
        <w:t xml:space="preserve"> </w:t>
      </w:r>
      <w:r w:rsidRPr="00E06F8B">
        <w:t>that</w:t>
      </w:r>
      <w:r w:rsidR="000E4CF5">
        <w:t xml:space="preserve"> </w:t>
      </w:r>
      <w:r w:rsidRPr="00E06F8B">
        <w:t>the</w:t>
      </w:r>
      <w:r w:rsidR="000E4CF5">
        <w:t xml:space="preserve"> </w:t>
      </w:r>
      <w:r w:rsidRPr="00E06F8B">
        <w:t>secondary</w:t>
      </w:r>
      <w:r w:rsidR="000E4CF5">
        <w:t xml:space="preserve"> </w:t>
      </w:r>
      <w:r w:rsidRPr="00E06F8B">
        <w:t>school</w:t>
      </w:r>
      <w:r w:rsidR="000E4CF5">
        <w:t xml:space="preserve"> </w:t>
      </w:r>
      <w:r w:rsidRPr="00E06F8B">
        <w:t>sc</w:t>
      </w:r>
      <w:r w:rsidRPr="00E06F8B">
        <w:t>i</w:t>
      </w:r>
      <w:r w:rsidRPr="00E06F8B">
        <w:t>ence</w:t>
      </w:r>
      <w:r w:rsidR="000E4CF5">
        <w:t xml:space="preserve"> </w:t>
      </w:r>
      <w:r w:rsidRPr="00E06F8B">
        <w:t>teachers</w:t>
      </w:r>
      <w:r w:rsidR="000E4CF5">
        <w:t xml:space="preserve"> </w:t>
      </w:r>
      <w:r w:rsidRPr="00E06F8B">
        <w:t>are</w:t>
      </w:r>
      <w:r w:rsidR="000E4CF5">
        <w:t xml:space="preserve"> </w:t>
      </w:r>
      <w:r w:rsidRPr="00E06F8B">
        <w:t>less</w:t>
      </w:r>
      <w:r w:rsidR="000E4CF5">
        <w:t xml:space="preserve"> </w:t>
      </w:r>
      <w:r w:rsidRPr="00E06F8B">
        <w:t>likely</w:t>
      </w:r>
      <w:r w:rsidR="000E4CF5">
        <w:t xml:space="preserve"> </w:t>
      </w:r>
      <w:r w:rsidRPr="00E06F8B">
        <w:t>to</w:t>
      </w:r>
      <w:r w:rsidR="000E4CF5">
        <w:t xml:space="preserve"> </w:t>
      </w:r>
      <w:r w:rsidRPr="00E06F8B">
        <w:t>believe</w:t>
      </w:r>
      <w:r w:rsidR="000E4CF5">
        <w:t xml:space="preserve"> </w:t>
      </w:r>
      <w:r w:rsidRPr="00E06F8B">
        <w:t>that</w:t>
      </w:r>
      <w:r w:rsidR="000E4CF5">
        <w:t xml:space="preserve"> </w:t>
      </w:r>
      <w:r w:rsidRPr="00E06F8B">
        <w:t>success</w:t>
      </w:r>
      <w:r w:rsidR="000E4CF5">
        <w:t xml:space="preserve"> </w:t>
      </w:r>
      <w:r w:rsidRPr="00E06F8B">
        <w:t>in</w:t>
      </w:r>
      <w:r w:rsidR="000E4CF5">
        <w:t xml:space="preserve"> </w:t>
      </w:r>
      <w:r w:rsidRPr="00E06F8B">
        <w:t>learning</w:t>
      </w:r>
      <w:r w:rsidR="000E4CF5">
        <w:t xml:space="preserve"> </w:t>
      </w:r>
      <w:r w:rsidRPr="00E06F8B">
        <w:t>is</w:t>
      </w:r>
      <w:r w:rsidR="000E4CF5">
        <w:t xml:space="preserve"> </w:t>
      </w:r>
      <w:r w:rsidRPr="00E06F8B">
        <w:t>depen</w:t>
      </w:r>
      <w:r w:rsidRPr="00E06F8B">
        <w:t>d</w:t>
      </w:r>
      <w:r w:rsidRPr="00E06F8B">
        <w:t>ent</w:t>
      </w:r>
      <w:r w:rsidR="000E4CF5">
        <w:t xml:space="preserve"> </w:t>
      </w:r>
      <w:r w:rsidRPr="00E06F8B">
        <w:t>on</w:t>
      </w:r>
      <w:r w:rsidR="000E4CF5">
        <w:t xml:space="preserve"> </w:t>
      </w:r>
      <w:r w:rsidRPr="00E06F8B">
        <w:t>the</w:t>
      </w:r>
      <w:r w:rsidR="000E4CF5">
        <w:t xml:space="preserve"> </w:t>
      </w:r>
      <w:r w:rsidRPr="00E06F8B">
        <w:t>ability</w:t>
      </w:r>
      <w:r w:rsidR="000E4CF5">
        <w:t xml:space="preserve"> </w:t>
      </w:r>
      <w:r w:rsidRPr="00E06F8B">
        <w:t>of</w:t>
      </w:r>
      <w:r w:rsidR="000E4CF5">
        <w:t xml:space="preserve"> </w:t>
      </w:r>
      <w:r w:rsidRPr="00E06F8B">
        <w:t>students.</w:t>
      </w:r>
      <w:r w:rsidR="000E4CF5">
        <w:t xml:space="preserve"> </w:t>
      </w:r>
      <w:r w:rsidRPr="00E06F8B">
        <w:t>There</w:t>
      </w:r>
      <w:r w:rsidR="000E4CF5">
        <w:t xml:space="preserve"> </w:t>
      </w:r>
      <w:r w:rsidRPr="00E06F8B">
        <w:t>is</w:t>
      </w:r>
      <w:r w:rsidR="000E4CF5">
        <w:t xml:space="preserve"> </w:t>
      </w:r>
      <w:r w:rsidRPr="00E06F8B">
        <w:t>no</w:t>
      </w:r>
      <w:r w:rsidR="000E4CF5">
        <w:t xml:space="preserve"> </w:t>
      </w:r>
      <w:r w:rsidRPr="00E06F8B">
        <w:t>significant</w:t>
      </w:r>
      <w:r w:rsidR="000E4CF5">
        <w:t xml:space="preserve"> </w:t>
      </w:r>
      <w:r w:rsidRPr="00E06F8B">
        <w:t>difference</w:t>
      </w:r>
      <w:r w:rsidR="000E4CF5">
        <w:t xml:space="preserve"> </w:t>
      </w:r>
      <w:r w:rsidRPr="00E06F8B">
        <w:t>in</w:t>
      </w:r>
      <w:r w:rsidR="000E4CF5">
        <w:t xml:space="preserve"> </w:t>
      </w:r>
      <w:r w:rsidRPr="00E06F8B">
        <w:t>the</w:t>
      </w:r>
      <w:r w:rsidR="000E4CF5">
        <w:t xml:space="preserve"> </w:t>
      </w:r>
      <w:r w:rsidRPr="00E06F8B">
        <w:t>two</w:t>
      </w:r>
      <w:r w:rsidR="000E4CF5">
        <w:t xml:space="preserve"> </w:t>
      </w:r>
      <w:r w:rsidRPr="00E06F8B">
        <w:t>groups</w:t>
      </w:r>
      <w:r w:rsidR="000E4CF5">
        <w:t xml:space="preserve"> </w:t>
      </w:r>
      <w:r w:rsidRPr="00E06F8B">
        <w:t>of</w:t>
      </w:r>
      <w:r w:rsidR="000E4CF5">
        <w:t xml:space="preserve"> </w:t>
      </w:r>
      <w:r w:rsidRPr="00E06F8B">
        <w:t>teachers’</w:t>
      </w:r>
      <w:r w:rsidR="000E4CF5">
        <w:t xml:space="preserve"> </w:t>
      </w:r>
      <w:r w:rsidRPr="00E06F8B">
        <w:t>endorsement</w:t>
      </w:r>
      <w:r w:rsidR="000E4CF5">
        <w:t xml:space="preserve"> </w:t>
      </w:r>
      <w:r w:rsidRPr="00E06F8B">
        <w:t>of</w:t>
      </w:r>
      <w:r w:rsidR="000E4CF5">
        <w:t xml:space="preserve"> </w:t>
      </w:r>
      <w:r w:rsidRPr="00E06F8B">
        <w:t>the</w:t>
      </w:r>
      <w:r w:rsidR="000E4CF5">
        <w:t xml:space="preserve"> </w:t>
      </w:r>
      <w:r w:rsidRPr="00E06F8B">
        <w:t>effort-driven</w:t>
      </w:r>
      <w:r w:rsidR="000E4CF5">
        <w:t xml:space="preserve"> </w:t>
      </w:r>
      <w:r w:rsidRPr="00E06F8B">
        <w:t>model</w:t>
      </w:r>
      <w:r w:rsidR="000E4CF5">
        <w:t xml:space="preserve"> </w:t>
      </w:r>
      <w:r w:rsidRPr="00E06F8B">
        <w:t>of</w:t>
      </w:r>
      <w:r w:rsidR="000E4CF5">
        <w:t xml:space="preserve"> </w:t>
      </w:r>
      <w:r w:rsidRPr="00E06F8B">
        <w:t>learning.</w:t>
      </w:r>
    </w:p>
    <w:p w14:paraId="1912D302" w14:textId="77777777" w:rsidR="007D04A1" w:rsidRPr="00E06F8B" w:rsidRDefault="007D04A1" w:rsidP="00E41DCE">
      <w:pPr>
        <w:pStyle w:val="BodyTextFirstIndent"/>
      </w:pPr>
      <w:r w:rsidRPr="00E06F8B">
        <w:t>Regarding</w:t>
      </w:r>
      <w:r w:rsidR="000E4CF5">
        <w:t xml:space="preserve"> </w:t>
      </w:r>
      <w:r w:rsidRPr="00E06F8B">
        <w:t>the</w:t>
      </w:r>
      <w:r w:rsidR="000E4CF5">
        <w:t xml:space="preserve"> </w:t>
      </w:r>
      <w:r w:rsidRPr="00E06F8B">
        <w:t>endorsement</w:t>
      </w:r>
      <w:r w:rsidR="000E4CF5">
        <w:t xml:space="preserve"> </w:t>
      </w:r>
      <w:r w:rsidRPr="00E06F8B">
        <w:t>of</w:t>
      </w:r>
      <w:r w:rsidR="000E4CF5">
        <w:t xml:space="preserve"> </w:t>
      </w:r>
      <w:r w:rsidRPr="00E06F8B">
        <w:t>cultural</w:t>
      </w:r>
      <w:r w:rsidR="000E4CF5">
        <w:t xml:space="preserve"> </w:t>
      </w:r>
      <w:r w:rsidRPr="00E06F8B">
        <w:t>beliefs,</w:t>
      </w:r>
      <w:r w:rsidR="000E4CF5">
        <w:t xml:space="preserve"> </w:t>
      </w:r>
      <w:r w:rsidRPr="00E06F8B">
        <w:t>both</w:t>
      </w:r>
      <w:r w:rsidR="000E4CF5">
        <w:t xml:space="preserve"> </w:t>
      </w:r>
      <w:r w:rsidRPr="00E06F8B">
        <w:t>groups</w:t>
      </w:r>
      <w:r w:rsidR="000E4CF5">
        <w:t xml:space="preserve"> </w:t>
      </w:r>
      <w:r w:rsidRPr="00E06F8B">
        <w:t>of</w:t>
      </w:r>
      <w:r w:rsidR="000E4CF5">
        <w:t xml:space="preserve"> </w:t>
      </w:r>
      <w:r w:rsidRPr="00E06F8B">
        <w:t>science</w:t>
      </w:r>
      <w:r w:rsidR="000E4CF5">
        <w:t xml:space="preserve"> </w:t>
      </w:r>
      <w:r w:rsidRPr="00E06F8B">
        <w:t>teachers</w:t>
      </w:r>
      <w:r w:rsidR="000E4CF5">
        <w:t xml:space="preserve"> </w:t>
      </w:r>
      <w:r w:rsidRPr="00E06F8B">
        <w:t>tend</w:t>
      </w:r>
      <w:r w:rsidR="000E4CF5">
        <w:t xml:space="preserve"> </w:t>
      </w:r>
      <w:r w:rsidRPr="00E06F8B">
        <w:t>not</w:t>
      </w:r>
      <w:r w:rsidR="000E4CF5">
        <w:t xml:space="preserve"> </w:t>
      </w:r>
      <w:r w:rsidRPr="00E06F8B">
        <w:t>to</w:t>
      </w:r>
      <w:r w:rsidR="000E4CF5">
        <w:t xml:space="preserve"> </w:t>
      </w:r>
      <w:r w:rsidRPr="00E06F8B">
        <w:t>endorse</w:t>
      </w:r>
      <w:r w:rsidR="000E4CF5">
        <w:t xml:space="preserve"> </w:t>
      </w:r>
      <w:r w:rsidRPr="00E06F8B">
        <w:t>these</w:t>
      </w:r>
      <w:r w:rsidR="000E4CF5">
        <w:t xml:space="preserve"> </w:t>
      </w:r>
      <w:r w:rsidRPr="00E06F8B">
        <w:t>beliefs,</w:t>
      </w:r>
      <w:r w:rsidR="000E4CF5">
        <w:t xml:space="preserve"> </w:t>
      </w:r>
      <w:r w:rsidRPr="00E06F8B">
        <w:t>as</w:t>
      </w:r>
      <w:r w:rsidR="000E4CF5">
        <w:t xml:space="preserve"> </w:t>
      </w:r>
      <w:r w:rsidRPr="00E06F8B">
        <w:t>indicated</w:t>
      </w:r>
      <w:r w:rsidR="000E4CF5">
        <w:t xml:space="preserve"> </w:t>
      </w:r>
      <w:r w:rsidRPr="00E06F8B">
        <w:t>by</w:t>
      </w:r>
      <w:r w:rsidR="000E4CF5">
        <w:t xml:space="preserve"> </w:t>
      </w:r>
      <w:r w:rsidRPr="00E06F8B">
        <w:t>the</w:t>
      </w:r>
      <w:r w:rsidR="000E4CF5">
        <w:t xml:space="preserve"> </w:t>
      </w:r>
      <w:r w:rsidRPr="00E06F8B">
        <w:t>means</w:t>
      </w:r>
      <w:r w:rsidR="000E4CF5">
        <w:t xml:space="preserve"> </w:t>
      </w:r>
      <w:r w:rsidRPr="00E06F8B">
        <w:t>that</w:t>
      </w:r>
      <w:r w:rsidR="000E4CF5">
        <w:t xml:space="preserve"> </w:t>
      </w:r>
      <w:r w:rsidRPr="00E06F8B">
        <w:t>are</w:t>
      </w:r>
      <w:r w:rsidR="000E4CF5">
        <w:t xml:space="preserve"> </w:t>
      </w:r>
      <w:r w:rsidRPr="00E06F8B">
        <w:t>below</w:t>
      </w:r>
      <w:r w:rsidR="000E4CF5">
        <w:t xml:space="preserve"> </w:t>
      </w:r>
      <w:r w:rsidRPr="00E06F8B">
        <w:t>the</w:t>
      </w:r>
      <w:r w:rsidR="000E4CF5">
        <w:t xml:space="preserve"> </w:t>
      </w:r>
      <w:r w:rsidRPr="00E06F8B">
        <w:t>midpoint</w:t>
      </w:r>
      <w:r w:rsidR="000E4CF5">
        <w:t xml:space="preserve"> </w:t>
      </w:r>
      <w:r w:rsidRPr="00E06F8B">
        <w:t>of</w:t>
      </w:r>
      <w:r w:rsidR="000E4CF5">
        <w:t xml:space="preserve"> </w:t>
      </w:r>
      <w:r w:rsidRPr="00E06F8B">
        <w:t>the</w:t>
      </w:r>
      <w:r w:rsidR="000E4CF5">
        <w:t xml:space="preserve"> </w:t>
      </w:r>
      <w:r w:rsidRPr="00E06F8B">
        <w:t>5-point</w:t>
      </w:r>
      <w:r w:rsidR="000E4CF5">
        <w:t xml:space="preserve"> </w:t>
      </w:r>
      <w:r w:rsidRPr="00E06F8B">
        <w:t>scale.</w:t>
      </w:r>
      <w:r w:rsidR="000E4CF5">
        <w:t xml:space="preserve"> </w:t>
      </w:r>
      <w:r w:rsidRPr="00E06F8B">
        <w:t>However,</w:t>
      </w:r>
      <w:r w:rsidR="000E4CF5">
        <w:t xml:space="preserve"> </w:t>
      </w:r>
      <w:r w:rsidRPr="00E06F8B">
        <w:t>the</w:t>
      </w:r>
      <w:r w:rsidR="000E4CF5">
        <w:t xml:space="preserve"> </w:t>
      </w:r>
      <w:r w:rsidRPr="00E06F8B">
        <w:t>statistical</w:t>
      </w:r>
      <w:r w:rsidR="000E4CF5">
        <w:t xml:space="preserve"> </w:t>
      </w:r>
      <w:r w:rsidRPr="00E06F8B">
        <w:t>ana</w:t>
      </w:r>
      <w:r w:rsidRPr="00E06F8B">
        <w:t>l</w:t>
      </w:r>
      <w:r w:rsidRPr="00E06F8B">
        <w:t>ysis</w:t>
      </w:r>
      <w:r w:rsidR="000E4CF5">
        <w:t xml:space="preserve"> </w:t>
      </w:r>
      <w:r w:rsidRPr="00E06F8B">
        <w:t>indicated</w:t>
      </w:r>
      <w:r w:rsidR="000E4CF5">
        <w:t xml:space="preserve"> </w:t>
      </w:r>
      <w:r w:rsidRPr="00E06F8B">
        <w:t>that</w:t>
      </w:r>
      <w:r w:rsidR="000E4CF5">
        <w:t xml:space="preserve"> </w:t>
      </w:r>
      <w:r w:rsidRPr="00E06F8B">
        <w:t>the</w:t>
      </w:r>
      <w:r w:rsidR="000E4CF5">
        <w:t xml:space="preserve"> </w:t>
      </w:r>
      <w:r w:rsidRPr="00E06F8B">
        <w:t>secondary</w:t>
      </w:r>
      <w:r w:rsidR="000E4CF5">
        <w:t xml:space="preserve"> </w:t>
      </w:r>
      <w:r w:rsidRPr="00E06F8B">
        <w:t>school</w:t>
      </w:r>
      <w:r w:rsidR="000E4CF5">
        <w:t xml:space="preserve"> </w:t>
      </w:r>
      <w:r w:rsidRPr="00E06F8B">
        <w:t>science</w:t>
      </w:r>
      <w:r w:rsidR="000E4CF5">
        <w:t xml:space="preserve"> </w:t>
      </w:r>
      <w:r w:rsidRPr="00E06F8B">
        <w:t>teachers</w:t>
      </w:r>
      <w:r w:rsidR="000E4CF5">
        <w:t xml:space="preserve"> </w:t>
      </w:r>
      <w:r w:rsidRPr="00E06F8B">
        <w:t>are</w:t>
      </w:r>
      <w:r w:rsidR="000E4CF5">
        <w:t xml:space="preserve"> </w:t>
      </w:r>
      <w:r w:rsidRPr="00E06F8B">
        <w:t>also</w:t>
      </w:r>
      <w:r w:rsidR="000E4CF5">
        <w:t xml:space="preserve"> </w:t>
      </w:r>
      <w:r w:rsidRPr="00E06F8B">
        <w:t>less</w:t>
      </w:r>
      <w:r w:rsidR="000E4CF5">
        <w:t xml:space="preserve"> </w:t>
      </w:r>
      <w:r w:rsidRPr="00E06F8B">
        <w:t>lik</w:t>
      </w:r>
      <w:r w:rsidRPr="00E06F8B">
        <w:t>e</w:t>
      </w:r>
      <w:r w:rsidRPr="00E06F8B">
        <w:t>ly</w:t>
      </w:r>
      <w:r w:rsidR="000E4CF5">
        <w:t xml:space="preserve"> </w:t>
      </w:r>
      <w:r w:rsidRPr="00E06F8B">
        <w:t>to</w:t>
      </w:r>
      <w:r w:rsidR="000E4CF5">
        <w:t xml:space="preserve"> </w:t>
      </w:r>
      <w:r w:rsidRPr="00E06F8B">
        <w:t>believe</w:t>
      </w:r>
      <w:r w:rsidR="000E4CF5">
        <w:t xml:space="preserve"> </w:t>
      </w:r>
      <w:r w:rsidRPr="00E06F8B">
        <w:t>in</w:t>
      </w:r>
      <w:r w:rsidR="000E4CF5">
        <w:t xml:space="preserve"> </w:t>
      </w:r>
      <w:r w:rsidRPr="00E06F8B">
        <w:t>these</w:t>
      </w:r>
      <w:r w:rsidR="000E4CF5">
        <w:t xml:space="preserve"> </w:t>
      </w:r>
      <w:r w:rsidRPr="00E06F8B">
        <w:t>cultural</w:t>
      </w:r>
      <w:r w:rsidR="000E4CF5">
        <w:t xml:space="preserve"> </w:t>
      </w:r>
      <w:r w:rsidRPr="00E06F8B">
        <w:t>beliefs.</w:t>
      </w:r>
    </w:p>
    <w:p w14:paraId="0235A1BD" w14:textId="77777777" w:rsidR="007D04A1" w:rsidRPr="00E06F8B" w:rsidRDefault="007D04A1" w:rsidP="00E41DCE">
      <w:pPr>
        <w:pStyle w:val="BodyTextFirstIndent"/>
      </w:pPr>
      <w:r w:rsidRPr="00E06F8B">
        <w:t>The</w:t>
      </w:r>
      <w:r w:rsidR="000E4CF5">
        <w:t xml:space="preserve"> </w:t>
      </w:r>
      <w:r w:rsidRPr="00E06F8B">
        <w:t>same</w:t>
      </w:r>
      <w:r w:rsidR="000E4CF5">
        <w:t xml:space="preserve"> </w:t>
      </w:r>
      <w:r w:rsidRPr="00E06F8B">
        <w:t>pattern</w:t>
      </w:r>
      <w:r w:rsidR="000E4CF5">
        <w:t xml:space="preserve"> </w:t>
      </w:r>
      <w:r w:rsidRPr="00E06F8B">
        <w:t>is</w:t>
      </w:r>
      <w:r w:rsidR="000E4CF5">
        <w:t xml:space="preserve"> </w:t>
      </w:r>
      <w:r w:rsidRPr="00E06F8B">
        <w:t>found</w:t>
      </w:r>
      <w:r w:rsidR="000E4CF5">
        <w:t xml:space="preserve"> </w:t>
      </w:r>
      <w:r w:rsidRPr="00E06F8B">
        <w:t>when</w:t>
      </w:r>
      <w:r w:rsidR="000E4CF5">
        <w:t xml:space="preserve"> </w:t>
      </w:r>
      <w:r w:rsidRPr="00E06F8B">
        <w:t>we</w:t>
      </w:r>
      <w:r w:rsidR="000E4CF5">
        <w:t xml:space="preserve"> </w:t>
      </w:r>
      <w:r w:rsidRPr="00E06F8B">
        <w:t>compare</w:t>
      </w:r>
      <w:r w:rsidR="000E4CF5">
        <w:t xml:space="preserve"> </w:t>
      </w:r>
      <w:r w:rsidRPr="00E06F8B">
        <w:t>teachers</w:t>
      </w:r>
      <w:r w:rsidR="000E4CF5">
        <w:t xml:space="preserve"> </w:t>
      </w:r>
      <w:r w:rsidRPr="00E06F8B">
        <w:t>who</w:t>
      </w:r>
      <w:r w:rsidR="000E4CF5">
        <w:t xml:space="preserve"> </w:t>
      </w:r>
      <w:r w:rsidRPr="00E06F8B">
        <w:t>actually</w:t>
      </w:r>
      <w:r w:rsidR="000E4CF5">
        <w:t xml:space="preserve"> </w:t>
      </w:r>
      <w:r w:rsidRPr="00E06F8B">
        <w:t>majored</w:t>
      </w:r>
      <w:r w:rsidR="000E4CF5">
        <w:t xml:space="preserve"> </w:t>
      </w:r>
      <w:r w:rsidRPr="00E06F8B">
        <w:t>in</w:t>
      </w:r>
      <w:r w:rsidR="000E4CF5">
        <w:t xml:space="preserve"> </w:t>
      </w:r>
      <w:r w:rsidRPr="00E06F8B">
        <w:t>science</w:t>
      </w:r>
      <w:r w:rsidR="000E4CF5">
        <w:t xml:space="preserve"> </w:t>
      </w:r>
      <w:r w:rsidRPr="00E06F8B">
        <w:t>to</w:t>
      </w:r>
      <w:r w:rsidR="000E4CF5">
        <w:t xml:space="preserve"> </w:t>
      </w:r>
      <w:r w:rsidRPr="00E06F8B">
        <w:t>those</w:t>
      </w:r>
      <w:r w:rsidR="000E4CF5">
        <w:t xml:space="preserve"> </w:t>
      </w:r>
      <w:r w:rsidRPr="00E06F8B">
        <w:t>who</w:t>
      </w:r>
      <w:r w:rsidR="000E4CF5">
        <w:t xml:space="preserve"> </w:t>
      </w:r>
      <w:r w:rsidRPr="00E06F8B">
        <w:t>did</w:t>
      </w:r>
      <w:r w:rsidR="000E4CF5">
        <w:t xml:space="preserve"> </w:t>
      </w:r>
      <w:r w:rsidRPr="00E06F8B">
        <w:t>not.</w:t>
      </w:r>
      <w:r w:rsidR="000E4CF5">
        <w:t xml:space="preserve"> </w:t>
      </w:r>
      <w:r w:rsidRPr="00E06F8B">
        <w:t>As</w:t>
      </w:r>
      <w:r w:rsidR="000E4CF5">
        <w:t xml:space="preserve"> </w:t>
      </w:r>
      <w:r w:rsidRPr="00E06F8B">
        <w:t>shown</w:t>
      </w:r>
      <w:r w:rsidR="000E4CF5">
        <w:t xml:space="preserve"> </w:t>
      </w:r>
      <w:r w:rsidRPr="00E06F8B">
        <w:t>in</w:t>
      </w:r>
      <w:r w:rsidR="000E4CF5">
        <w:t xml:space="preserve"> </w:t>
      </w:r>
      <w:r w:rsidRPr="00E06F8B">
        <w:t>Table</w:t>
      </w:r>
      <w:r w:rsidR="000E4CF5">
        <w:t xml:space="preserve"> </w:t>
      </w:r>
      <w:r w:rsidRPr="00E06F8B">
        <w:t>3,</w:t>
      </w:r>
      <w:r w:rsidR="000E4CF5">
        <w:t xml:space="preserve"> </w:t>
      </w:r>
      <w:r w:rsidRPr="00E06F8B">
        <w:t>the</w:t>
      </w:r>
      <w:r w:rsidR="000E4CF5">
        <w:t xml:space="preserve"> </w:t>
      </w:r>
      <w:r w:rsidRPr="00E06F8B">
        <w:t>means</w:t>
      </w:r>
      <w:r w:rsidR="000E4CF5">
        <w:t xml:space="preserve"> </w:t>
      </w:r>
      <w:r w:rsidRPr="00E06F8B">
        <w:lastRenderedPageBreak/>
        <w:t>for</w:t>
      </w:r>
      <w:r w:rsidR="000E4CF5">
        <w:t xml:space="preserve"> </w:t>
      </w:r>
      <w:r w:rsidRPr="00E06F8B">
        <w:t>this</w:t>
      </w:r>
      <w:r w:rsidR="000E4CF5">
        <w:t xml:space="preserve"> </w:t>
      </w:r>
      <w:r w:rsidRPr="00E06F8B">
        <w:t>grouping</w:t>
      </w:r>
      <w:r w:rsidR="000E4CF5">
        <w:t xml:space="preserve"> </w:t>
      </w:r>
      <w:r w:rsidRPr="00E06F8B">
        <w:t>of</w:t>
      </w:r>
      <w:r w:rsidR="000E4CF5">
        <w:t xml:space="preserve"> </w:t>
      </w:r>
      <w:r w:rsidRPr="00E06F8B">
        <w:t>science</w:t>
      </w:r>
      <w:r w:rsidR="000E4CF5">
        <w:t xml:space="preserve"> </w:t>
      </w:r>
      <w:r w:rsidRPr="00E06F8B">
        <w:t>teachers</w:t>
      </w:r>
      <w:r w:rsidR="000E4CF5">
        <w:t xml:space="preserve"> </w:t>
      </w:r>
      <w:r w:rsidRPr="00E06F8B">
        <w:t>are</w:t>
      </w:r>
      <w:r w:rsidR="000E4CF5">
        <w:t xml:space="preserve"> </w:t>
      </w:r>
      <w:r w:rsidRPr="00E06F8B">
        <w:t>in</w:t>
      </w:r>
      <w:r w:rsidR="000E4CF5">
        <w:t xml:space="preserve"> </w:t>
      </w:r>
      <w:r w:rsidRPr="00E06F8B">
        <w:t>the</w:t>
      </w:r>
      <w:r w:rsidR="000E4CF5">
        <w:t xml:space="preserve"> </w:t>
      </w:r>
      <w:r w:rsidRPr="00E06F8B">
        <w:t>same</w:t>
      </w:r>
      <w:r w:rsidR="000E4CF5">
        <w:t xml:space="preserve"> </w:t>
      </w:r>
      <w:r w:rsidRPr="00E06F8B">
        <w:t>range</w:t>
      </w:r>
      <w:r w:rsidR="000E4CF5">
        <w:t xml:space="preserve"> </w:t>
      </w:r>
      <w:r w:rsidRPr="00E06F8B">
        <w:t>as</w:t>
      </w:r>
      <w:r w:rsidR="000E4CF5">
        <w:t xml:space="preserve"> </w:t>
      </w:r>
      <w:r w:rsidRPr="00E06F8B">
        <w:t>in</w:t>
      </w:r>
      <w:r w:rsidR="000E4CF5">
        <w:t xml:space="preserve"> </w:t>
      </w:r>
      <w:r w:rsidRPr="00E06F8B">
        <w:t>the</w:t>
      </w:r>
      <w:r w:rsidR="000E4CF5">
        <w:t xml:space="preserve"> </w:t>
      </w:r>
      <w:r w:rsidRPr="00E06F8B">
        <w:t>prev</w:t>
      </w:r>
      <w:r w:rsidRPr="00E06F8B">
        <w:t>i</w:t>
      </w:r>
      <w:r w:rsidRPr="00E06F8B">
        <w:t>ous</w:t>
      </w:r>
      <w:r w:rsidR="000E4CF5">
        <w:t xml:space="preserve"> </w:t>
      </w:r>
      <w:r w:rsidRPr="00E06F8B">
        <w:t>comparison.</w:t>
      </w:r>
      <w:r w:rsidR="000E4CF5">
        <w:t xml:space="preserve"> </w:t>
      </w:r>
      <w:r w:rsidRPr="00E06F8B">
        <w:t>More</w:t>
      </w:r>
      <w:r w:rsidR="000E4CF5">
        <w:t xml:space="preserve"> </w:t>
      </w:r>
      <w:r w:rsidRPr="00E06F8B">
        <w:t>importantly,</w:t>
      </w:r>
      <w:r w:rsidR="000E4CF5">
        <w:t xml:space="preserve"> </w:t>
      </w:r>
      <w:r w:rsidRPr="00E06F8B">
        <w:t>the</w:t>
      </w:r>
      <w:r w:rsidR="000E4CF5">
        <w:t xml:space="preserve"> </w:t>
      </w:r>
      <w:r w:rsidRPr="00E06F8B">
        <w:t>teachers</w:t>
      </w:r>
      <w:r w:rsidR="000E4CF5">
        <w:t xml:space="preserve"> </w:t>
      </w:r>
      <w:r w:rsidRPr="00E06F8B">
        <w:t>who</w:t>
      </w:r>
      <w:r w:rsidR="000E4CF5">
        <w:t xml:space="preserve"> </w:t>
      </w:r>
      <w:r w:rsidRPr="00E06F8B">
        <w:t>majored</w:t>
      </w:r>
      <w:r w:rsidR="000E4CF5">
        <w:t xml:space="preserve"> </w:t>
      </w:r>
      <w:r w:rsidRPr="00E06F8B">
        <w:t>in</w:t>
      </w:r>
      <w:r w:rsidR="000E4CF5">
        <w:t xml:space="preserve"> </w:t>
      </w:r>
      <w:r w:rsidRPr="00E06F8B">
        <w:t>science</w:t>
      </w:r>
      <w:r w:rsidR="000E4CF5">
        <w:t xml:space="preserve"> </w:t>
      </w:r>
      <w:r w:rsidRPr="00E06F8B">
        <w:t>are</w:t>
      </w:r>
      <w:r w:rsidR="000E4CF5">
        <w:t xml:space="preserve"> </w:t>
      </w:r>
      <w:r w:rsidRPr="00E06F8B">
        <w:t>also</w:t>
      </w:r>
      <w:r w:rsidR="000E4CF5">
        <w:t xml:space="preserve"> </w:t>
      </w:r>
      <w:r w:rsidRPr="00E06F8B">
        <w:t>more</w:t>
      </w:r>
      <w:r w:rsidR="000E4CF5">
        <w:t xml:space="preserve"> </w:t>
      </w:r>
      <w:r w:rsidRPr="00E06F8B">
        <w:t>likely</w:t>
      </w:r>
      <w:r w:rsidR="000E4CF5">
        <w:t xml:space="preserve"> </w:t>
      </w:r>
      <w:r w:rsidRPr="00E06F8B">
        <w:t>to</w:t>
      </w:r>
      <w:r w:rsidR="000E4CF5">
        <w:t xml:space="preserve"> </w:t>
      </w:r>
      <w:r w:rsidRPr="00E06F8B">
        <w:t>endorse</w:t>
      </w:r>
      <w:r w:rsidR="000E4CF5">
        <w:t xml:space="preserve"> </w:t>
      </w:r>
      <w:r w:rsidRPr="00E06F8B">
        <w:t>beliefs</w:t>
      </w:r>
      <w:r w:rsidR="000E4CF5">
        <w:t xml:space="preserve"> </w:t>
      </w:r>
      <w:r w:rsidRPr="00E06F8B">
        <w:t>about</w:t>
      </w:r>
      <w:r w:rsidR="000E4CF5">
        <w:t xml:space="preserve"> </w:t>
      </w:r>
      <w:r w:rsidRPr="00E06F8B">
        <w:t>teaching</w:t>
      </w:r>
      <w:r w:rsidR="000E4CF5">
        <w:t xml:space="preserve"> </w:t>
      </w:r>
      <w:r w:rsidRPr="00E06F8B">
        <w:t>as</w:t>
      </w:r>
      <w:r w:rsidR="000E4CF5">
        <w:t xml:space="preserve"> </w:t>
      </w:r>
      <w:r w:rsidRPr="00E06F8B">
        <w:t>providing</w:t>
      </w:r>
      <w:r w:rsidR="000E4CF5">
        <w:t xml:space="preserve"> </w:t>
      </w:r>
      <w:r w:rsidRPr="00E06F8B">
        <w:t>support</w:t>
      </w:r>
      <w:r w:rsidR="000E4CF5">
        <w:t xml:space="preserve"> </w:t>
      </w:r>
      <w:r w:rsidRPr="00E06F8B">
        <w:t>for</w:t>
      </w:r>
      <w:r w:rsidR="000E4CF5">
        <w:t xml:space="preserve"> </w:t>
      </w:r>
      <w:r w:rsidRPr="00E06F8B">
        <w:t>the</w:t>
      </w:r>
      <w:r w:rsidR="000E4CF5">
        <w:t xml:space="preserve"> </w:t>
      </w:r>
      <w:r w:rsidRPr="00E06F8B">
        <w:t>learning</w:t>
      </w:r>
      <w:r w:rsidR="000E4CF5">
        <w:t xml:space="preserve"> </w:t>
      </w:r>
      <w:r w:rsidRPr="00E06F8B">
        <w:t>processes</w:t>
      </w:r>
      <w:r w:rsidR="000E4CF5">
        <w:t xml:space="preserve"> </w:t>
      </w:r>
      <w:r w:rsidRPr="00E06F8B">
        <w:t>of</w:t>
      </w:r>
      <w:r w:rsidR="000E4CF5">
        <w:t xml:space="preserve"> </w:t>
      </w:r>
      <w:r w:rsidRPr="00E06F8B">
        <w:t>students,</w:t>
      </w:r>
      <w:r w:rsidR="000E4CF5">
        <w:t xml:space="preserve"> </w:t>
      </w:r>
      <w:r w:rsidRPr="00E06F8B">
        <w:t>and</w:t>
      </w:r>
      <w:r w:rsidR="000E4CF5">
        <w:t xml:space="preserve"> </w:t>
      </w:r>
      <w:r w:rsidRPr="00E06F8B">
        <w:t>less</w:t>
      </w:r>
      <w:r w:rsidR="000E4CF5">
        <w:t xml:space="preserve"> </w:t>
      </w:r>
      <w:r w:rsidRPr="00E06F8B">
        <w:t>likely</w:t>
      </w:r>
      <w:r w:rsidR="000E4CF5">
        <w:t xml:space="preserve"> </w:t>
      </w:r>
      <w:r w:rsidRPr="00E06F8B">
        <w:t>to</w:t>
      </w:r>
      <w:r w:rsidR="000E4CF5">
        <w:t xml:space="preserve"> </w:t>
      </w:r>
      <w:r w:rsidRPr="00E06F8B">
        <w:t>believe</w:t>
      </w:r>
      <w:r w:rsidR="000E4CF5">
        <w:t xml:space="preserve"> </w:t>
      </w:r>
      <w:r w:rsidRPr="00E06F8B">
        <w:t>that</w:t>
      </w:r>
      <w:r w:rsidR="000E4CF5">
        <w:t xml:space="preserve"> </w:t>
      </w:r>
      <w:r w:rsidRPr="00E06F8B">
        <w:t>su</w:t>
      </w:r>
      <w:r w:rsidRPr="00E06F8B">
        <w:t>c</w:t>
      </w:r>
      <w:r w:rsidRPr="00E06F8B">
        <w:t>cess</w:t>
      </w:r>
      <w:r w:rsidR="000E4CF5">
        <w:t xml:space="preserve"> </w:t>
      </w:r>
      <w:r w:rsidRPr="00E06F8B">
        <w:t>in</w:t>
      </w:r>
      <w:r w:rsidR="000E4CF5">
        <w:t xml:space="preserve"> </w:t>
      </w:r>
      <w:r w:rsidRPr="00E06F8B">
        <w:t>learning</w:t>
      </w:r>
      <w:r w:rsidR="000E4CF5">
        <w:t xml:space="preserve"> </w:t>
      </w:r>
      <w:r w:rsidRPr="00E06F8B">
        <w:t>is</w:t>
      </w:r>
      <w:r w:rsidR="000E4CF5">
        <w:t xml:space="preserve"> </w:t>
      </w:r>
      <w:r w:rsidRPr="00E06F8B">
        <w:t>dependent</w:t>
      </w:r>
      <w:r w:rsidR="000E4CF5">
        <w:t xml:space="preserve"> </w:t>
      </w:r>
      <w:r w:rsidRPr="00E06F8B">
        <w:t>on</w:t>
      </w:r>
      <w:r w:rsidR="000E4CF5">
        <w:t xml:space="preserve"> </w:t>
      </w:r>
      <w:r w:rsidRPr="00E06F8B">
        <w:t>the</w:t>
      </w:r>
      <w:r w:rsidR="000E4CF5">
        <w:t xml:space="preserve"> </w:t>
      </w:r>
      <w:r w:rsidRPr="00E06F8B">
        <w:t>ability</w:t>
      </w:r>
      <w:r w:rsidR="000E4CF5">
        <w:t xml:space="preserve"> </w:t>
      </w:r>
      <w:r w:rsidRPr="00E06F8B">
        <w:t>of</w:t>
      </w:r>
      <w:r w:rsidR="000E4CF5">
        <w:t xml:space="preserve"> </w:t>
      </w:r>
      <w:r w:rsidRPr="00E06F8B">
        <w:t>students.</w:t>
      </w:r>
      <w:r w:rsidR="000E4CF5">
        <w:t xml:space="preserve"> </w:t>
      </w:r>
      <w:r w:rsidRPr="00E06F8B">
        <w:t>The</w:t>
      </w:r>
      <w:r w:rsidR="000E4CF5">
        <w:t xml:space="preserve"> </w:t>
      </w:r>
      <w:r w:rsidRPr="00E06F8B">
        <w:t>science</w:t>
      </w:r>
      <w:r w:rsidR="000E4CF5">
        <w:t xml:space="preserve"> </w:t>
      </w:r>
      <w:r w:rsidRPr="00E06F8B">
        <w:t>majors</w:t>
      </w:r>
      <w:r w:rsidR="000E4CF5">
        <w:t xml:space="preserve"> </w:t>
      </w:r>
      <w:r w:rsidRPr="00E06F8B">
        <w:t>are</w:t>
      </w:r>
      <w:r w:rsidR="000E4CF5">
        <w:t xml:space="preserve"> </w:t>
      </w:r>
      <w:r w:rsidRPr="00E06F8B">
        <w:t>also</w:t>
      </w:r>
      <w:r w:rsidR="000E4CF5">
        <w:t xml:space="preserve"> </w:t>
      </w:r>
      <w:r w:rsidRPr="00E06F8B">
        <w:t>less</w:t>
      </w:r>
      <w:r w:rsidR="000E4CF5">
        <w:t xml:space="preserve"> </w:t>
      </w:r>
      <w:r w:rsidRPr="00E06F8B">
        <w:t>likely</w:t>
      </w:r>
      <w:r w:rsidR="000E4CF5">
        <w:t xml:space="preserve"> </w:t>
      </w:r>
      <w:r w:rsidRPr="00E06F8B">
        <w:t>to</w:t>
      </w:r>
      <w:r w:rsidR="000E4CF5">
        <w:t xml:space="preserve"> </w:t>
      </w:r>
      <w:r w:rsidRPr="00E06F8B">
        <w:t>believe</w:t>
      </w:r>
      <w:r w:rsidR="000E4CF5">
        <w:t xml:space="preserve"> </w:t>
      </w:r>
      <w:r w:rsidRPr="00E06F8B">
        <w:t>in</w:t>
      </w:r>
      <w:r w:rsidR="000E4CF5">
        <w:t xml:space="preserve"> </w:t>
      </w:r>
      <w:r w:rsidRPr="00E06F8B">
        <w:t>the</w:t>
      </w:r>
      <w:r w:rsidR="000E4CF5">
        <w:t xml:space="preserve"> </w:t>
      </w:r>
      <w:r w:rsidRPr="00E06F8B">
        <w:t>cultural</w:t>
      </w:r>
      <w:r w:rsidR="000E4CF5">
        <w:t xml:space="preserve"> </w:t>
      </w:r>
      <w:r w:rsidRPr="00E06F8B">
        <w:t>beliefs.</w:t>
      </w:r>
      <w:r w:rsidR="000E4CF5">
        <w:t xml:space="preserve"> </w:t>
      </w:r>
      <w:proofErr w:type="gramStart"/>
      <w:r w:rsidRPr="00E06F8B">
        <w:t>This</w:t>
      </w:r>
      <w:r w:rsidR="000E4CF5">
        <w:t xml:space="preserve"> </w:t>
      </w:r>
      <w:r w:rsidRPr="00E06F8B">
        <w:t>pattern</w:t>
      </w:r>
      <w:r w:rsidR="000E4CF5">
        <w:t xml:space="preserve"> </w:t>
      </w:r>
      <w:r w:rsidRPr="00E06F8B">
        <w:t>of</w:t>
      </w:r>
      <w:r w:rsidR="000E4CF5">
        <w:t xml:space="preserve"> </w:t>
      </w:r>
      <w:r w:rsidRPr="00E06F8B">
        <w:t>results</w:t>
      </w:r>
      <w:r w:rsidR="000E4CF5">
        <w:t xml:space="preserve"> </w:t>
      </w:r>
      <w:r w:rsidRPr="00E06F8B">
        <w:t>mirrors</w:t>
      </w:r>
      <w:r w:rsidR="000E4CF5">
        <w:t xml:space="preserve"> </w:t>
      </w:r>
      <w:r w:rsidRPr="00E06F8B">
        <w:t>the</w:t>
      </w:r>
      <w:r w:rsidR="000E4CF5">
        <w:t xml:space="preserve"> </w:t>
      </w:r>
      <w:r w:rsidRPr="00E06F8B">
        <w:t>pattern</w:t>
      </w:r>
      <w:r w:rsidR="000E4CF5">
        <w:t xml:space="preserve"> </w:t>
      </w:r>
      <w:r w:rsidRPr="00E06F8B">
        <w:t>contrasting</w:t>
      </w:r>
      <w:r w:rsidR="000E4CF5">
        <w:t xml:space="preserve"> </w:t>
      </w:r>
      <w:r w:rsidRPr="00E06F8B">
        <w:t>the</w:t>
      </w:r>
      <w:r w:rsidR="000E4CF5">
        <w:t xml:space="preserve"> </w:t>
      </w:r>
      <w:r w:rsidRPr="00E06F8B">
        <w:t>primary</w:t>
      </w:r>
      <w:r w:rsidR="000E4CF5">
        <w:t xml:space="preserve"> </w:t>
      </w:r>
      <w:r w:rsidRPr="00E06F8B">
        <w:t>and</w:t>
      </w:r>
      <w:r w:rsidR="000E4CF5">
        <w:t xml:space="preserve"> </w:t>
      </w:r>
      <w:r w:rsidRPr="00E06F8B">
        <w:t>secondary</w:t>
      </w:r>
      <w:r w:rsidR="000E4CF5">
        <w:t xml:space="preserve"> </w:t>
      </w:r>
      <w:r w:rsidRPr="00E06F8B">
        <w:t>science</w:t>
      </w:r>
      <w:r w:rsidR="000E4CF5">
        <w:t xml:space="preserve"> </w:t>
      </w:r>
      <w:r w:rsidRPr="00E06F8B">
        <w:t>teac</w:t>
      </w:r>
      <w:r w:rsidRPr="00E06F8B">
        <w:t>h</w:t>
      </w:r>
      <w:r w:rsidRPr="00E06F8B">
        <w:t>ers,</w:t>
      </w:r>
      <w:r w:rsidR="000E4CF5">
        <w:t xml:space="preserve"> </w:t>
      </w:r>
      <w:r w:rsidRPr="00E06F8B">
        <w:t>and</w:t>
      </w:r>
      <w:r w:rsidR="000E4CF5">
        <w:t xml:space="preserve"> </w:t>
      </w:r>
      <w:r w:rsidRPr="00E06F8B">
        <w:t>provide</w:t>
      </w:r>
      <w:proofErr w:type="gramEnd"/>
      <w:r w:rsidR="000E4CF5">
        <w:t xml:space="preserve"> </w:t>
      </w:r>
      <w:r w:rsidRPr="00E06F8B">
        <w:t>convergent</w:t>
      </w:r>
      <w:r w:rsidR="000E4CF5">
        <w:t xml:space="preserve"> </w:t>
      </w:r>
      <w:r w:rsidRPr="00E06F8B">
        <w:t>evidence</w:t>
      </w:r>
      <w:r w:rsidR="000E4CF5">
        <w:t xml:space="preserve"> </w:t>
      </w:r>
      <w:r w:rsidRPr="00E06F8B">
        <w:t>for</w:t>
      </w:r>
      <w:r w:rsidR="000E4CF5">
        <w:t xml:space="preserve"> </w:t>
      </w:r>
      <w:r w:rsidRPr="00E06F8B">
        <w:t>the</w:t>
      </w:r>
      <w:r w:rsidR="000E4CF5">
        <w:t xml:space="preserve"> </w:t>
      </w:r>
      <w:r w:rsidRPr="00E06F8B">
        <w:t>hypothesis</w:t>
      </w:r>
      <w:r w:rsidR="000E4CF5">
        <w:t xml:space="preserve"> </w:t>
      </w:r>
      <w:r w:rsidRPr="00E06F8B">
        <w:t>regarding</w:t>
      </w:r>
      <w:r w:rsidR="000E4CF5">
        <w:t xml:space="preserve"> </w:t>
      </w:r>
      <w:r w:rsidRPr="00E06F8B">
        <w:t>the</w:t>
      </w:r>
      <w:r w:rsidR="000E4CF5">
        <w:t xml:space="preserve"> </w:t>
      </w:r>
      <w:r w:rsidRPr="00E06F8B">
        <w:t>possible</w:t>
      </w:r>
      <w:r w:rsidR="000E4CF5">
        <w:t xml:space="preserve"> </w:t>
      </w:r>
      <w:r w:rsidRPr="00E06F8B">
        <w:t>role</w:t>
      </w:r>
      <w:r w:rsidR="000E4CF5">
        <w:t xml:space="preserve"> </w:t>
      </w:r>
      <w:r w:rsidRPr="00E06F8B">
        <w:t>of</w:t>
      </w:r>
      <w:r w:rsidR="000E4CF5">
        <w:t xml:space="preserve"> </w:t>
      </w:r>
      <w:r w:rsidRPr="00E06F8B">
        <w:t>science</w:t>
      </w:r>
      <w:r w:rsidR="000E4CF5">
        <w:t xml:space="preserve"> </w:t>
      </w:r>
      <w:r w:rsidRPr="00E06F8B">
        <w:t>coursework</w:t>
      </w:r>
      <w:r w:rsidR="000E4CF5">
        <w:t xml:space="preserve"> </w:t>
      </w:r>
      <w:r w:rsidRPr="00E06F8B">
        <w:t>in</w:t>
      </w:r>
      <w:r w:rsidR="000E4CF5">
        <w:t xml:space="preserve"> </w:t>
      </w:r>
      <w:r w:rsidRPr="00E06F8B">
        <w:t>the</w:t>
      </w:r>
      <w:r w:rsidR="000E4CF5">
        <w:t xml:space="preserve"> </w:t>
      </w:r>
      <w:r w:rsidRPr="00E06F8B">
        <w:t>beliefs</w:t>
      </w:r>
      <w:r w:rsidR="000E4CF5">
        <w:t xml:space="preserve"> </w:t>
      </w:r>
      <w:r w:rsidRPr="00E06F8B">
        <w:t>of</w:t>
      </w:r>
      <w:r w:rsidR="000E4CF5">
        <w:t xml:space="preserve"> </w:t>
      </w:r>
      <w:r w:rsidRPr="00E06F8B">
        <w:t>science</w:t>
      </w:r>
      <w:r w:rsidR="000E4CF5">
        <w:t xml:space="preserve"> </w:t>
      </w:r>
      <w:r w:rsidRPr="00E06F8B">
        <w:t>teachers</w:t>
      </w:r>
      <w:r w:rsidR="000E4CF5">
        <w:t xml:space="preserve"> </w:t>
      </w:r>
      <w:r w:rsidRPr="00E06F8B">
        <w:t>in</w:t>
      </w:r>
      <w:r w:rsidR="000E4CF5">
        <w:t xml:space="preserve"> </w:t>
      </w:r>
      <w:r w:rsidRPr="00E06F8B">
        <w:t>the</w:t>
      </w:r>
      <w:r w:rsidR="000E4CF5">
        <w:t xml:space="preserve"> </w:t>
      </w:r>
      <w:r w:rsidRPr="00E06F8B">
        <w:t>Philippines.</w:t>
      </w:r>
    </w:p>
    <w:p w14:paraId="5E8A7100" w14:textId="77777777" w:rsidR="00B73173" w:rsidRPr="00280A9F" w:rsidRDefault="00B73173" w:rsidP="00280A9F">
      <w:pPr>
        <w:pStyle w:val="SEI-TableFigureheading"/>
      </w:pPr>
      <w:r w:rsidRPr="00280A9F">
        <w:t>Table</w:t>
      </w:r>
      <w:r w:rsidR="000E4CF5" w:rsidRPr="00280A9F">
        <w:t xml:space="preserve"> </w:t>
      </w:r>
      <w:r w:rsidRPr="00280A9F">
        <w:t>2.</w:t>
      </w:r>
      <w:r w:rsidR="001D0537">
        <w:tab/>
      </w:r>
      <w:r w:rsidRPr="00280A9F">
        <w:t>Pedagogical</w:t>
      </w:r>
      <w:r w:rsidR="000E4CF5" w:rsidRPr="00280A9F">
        <w:t xml:space="preserve"> </w:t>
      </w:r>
      <w:r w:rsidRPr="00280A9F">
        <w:t>beliefs</w:t>
      </w:r>
      <w:r w:rsidR="000E4CF5" w:rsidRPr="00280A9F">
        <w:t xml:space="preserve"> </w:t>
      </w:r>
      <w:r w:rsidRPr="00280A9F">
        <w:t>of</w:t>
      </w:r>
      <w:r w:rsidR="000E4CF5" w:rsidRPr="00280A9F">
        <w:t xml:space="preserve"> </w:t>
      </w:r>
      <w:r w:rsidRPr="00280A9F">
        <w:t>primary</w:t>
      </w:r>
      <w:r w:rsidR="000E4CF5" w:rsidRPr="00280A9F">
        <w:t xml:space="preserve"> </w:t>
      </w:r>
      <w:r w:rsidRPr="00280A9F">
        <w:t>and</w:t>
      </w:r>
      <w:r w:rsidR="000E4CF5" w:rsidRPr="00280A9F">
        <w:t xml:space="preserve"> </w:t>
      </w:r>
      <w:r w:rsidRPr="00280A9F">
        <w:t>secondary</w:t>
      </w:r>
      <w:r w:rsidR="000E4CF5" w:rsidRPr="00280A9F">
        <w:t xml:space="preserve"> </w:t>
      </w:r>
      <w:r w:rsidRPr="00280A9F">
        <w:t>school</w:t>
      </w:r>
      <w:r w:rsidR="000E4CF5" w:rsidRPr="00280A9F">
        <w:t xml:space="preserve"> </w:t>
      </w:r>
      <w:r w:rsidRPr="00280A9F">
        <w:t>science</w:t>
      </w:r>
      <w:r w:rsidR="000E4CF5" w:rsidRPr="00280A9F">
        <w:t xml:space="preserve"> </w:t>
      </w:r>
      <w:r w:rsidRPr="00280A9F">
        <w:t>teachers</w:t>
      </w:r>
    </w:p>
    <w:tbl>
      <w:tblPr>
        <w:tblW w:w="5000" w:type="pct"/>
        <w:tblLayout w:type="fixed"/>
        <w:tblLook w:val="00A0" w:firstRow="1" w:lastRow="0" w:firstColumn="1" w:lastColumn="0" w:noHBand="0" w:noVBand="0"/>
      </w:tblPr>
      <w:tblGrid>
        <w:gridCol w:w="2376"/>
        <w:gridCol w:w="680"/>
        <w:gridCol w:w="849"/>
        <w:gridCol w:w="899"/>
        <w:gridCol w:w="854"/>
        <w:gridCol w:w="1136"/>
      </w:tblGrid>
      <w:tr w:rsidR="00B73173" w:rsidRPr="00E06F8B" w14:paraId="48156725" w14:textId="77777777">
        <w:tc>
          <w:tcPr>
            <w:tcW w:w="2376" w:type="dxa"/>
            <w:vMerge w:val="restart"/>
            <w:tcBorders>
              <w:top w:val="single" w:sz="4" w:space="0" w:color="auto"/>
            </w:tcBorders>
          </w:tcPr>
          <w:p w14:paraId="001E06B1" w14:textId="77777777" w:rsidR="00B73173" w:rsidRPr="00E06F8B" w:rsidRDefault="00B73173" w:rsidP="008A2A58">
            <w:pPr>
              <w:rPr>
                <w:sz w:val="20"/>
                <w:szCs w:val="20"/>
              </w:rPr>
            </w:pPr>
            <w:r w:rsidRPr="00E06F8B">
              <w:rPr>
                <w:sz w:val="20"/>
                <w:szCs w:val="20"/>
              </w:rPr>
              <w:t>Beliefs</w:t>
            </w:r>
          </w:p>
        </w:tc>
        <w:tc>
          <w:tcPr>
            <w:tcW w:w="1529" w:type="dxa"/>
            <w:gridSpan w:val="2"/>
            <w:tcBorders>
              <w:top w:val="single" w:sz="4" w:space="0" w:color="auto"/>
            </w:tcBorders>
          </w:tcPr>
          <w:p w14:paraId="1AF357D2" w14:textId="77777777" w:rsidR="00B73173" w:rsidRPr="00E06F8B" w:rsidRDefault="00B73173" w:rsidP="008A2A58">
            <w:pPr>
              <w:jc w:val="center"/>
              <w:rPr>
                <w:sz w:val="20"/>
                <w:szCs w:val="20"/>
              </w:rPr>
            </w:pPr>
            <w:r w:rsidRPr="00E06F8B">
              <w:rPr>
                <w:sz w:val="20"/>
                <w:szCs w:val="20"/>
              </w:rPr>
              <w:t>Primary</w:t>
            </w:r>
            <w:r w:rsidR="000E4CF5">
              <w:rPr>
                <w:sz w:val="20"/>
                <w:szCs w:val="20"/>
              </w:rPr>
              <w:t xml:space="preserve"> </w:t>
            </w:r>
            <w:r w:rsidRPr="00E06F8B">
              <w:rPr>
                <w:sz w:val="20"/>
                <w:szCs w:val="20"/>
              </w:rPr>
              <w:t>School</w:t>
            </w:r>
          </w:p>
          <w:p w14:paraId="047CCA84" w14:textId="77777777" w:rsidR="00B73173" w:rsidRPr="00E06F8B" w:rsidRDefault="00B73173" w:rsidP="008A2A58">
            <w:pPr>
              <w:jc w:val="center"/>
              <w:rPr>
                <w:i/>
                <w:sz w:val="20"/>
                <w:szCs w:val="20"/>
              </w:rPr>
            </w:pPr>
            <w:r w:rsidRPr="00E06F8B">
              <w:rPr>
                <w:sz w:val="20"/>
                <w:szCs w:val="20"/>
              </w:rPr>
              <w:t>(N</w:t>
            </w:r>
            <w:r w:rsidR="000E4CF5">
              <w:rPr>
                <w:sz w:val="20"/>
                <w:szCs w:val="20"/>
              </w:rPr>
              <w:t xml:space="preserve"> </w:t>
            </w:r>
            <w:r w:rsidRPr="00E06F8B">
              <w:rPr>
                <w:sz w:val="20"/>
                <w:szCs w:val="20"/>
              </w:rPr>
              <w:t>=</w:t>
            </w:r>
            <w:r w:rsidR="000E4CF5">
              <w:rPr>
                <w:sz w:val="20"/>
                <w:szCs w:val="20"/>
              </w:rPr>
              <w:t xml:space="preserve"> </w:t>
            </w:r>
            <w:r w:rsidRPr="00E06F8B">
              <w:rPr>
                <w:sz w:val="20"/>
                <w:szCs w:val="20"/>
              </w:rPr>
              <w:t>179)</w:t>
            </w:r>
          </w:p>
        </w:tc>
        <w:tc>
          <w:tcPr>
            <w:tcW w:w="1753" w:type="dxa"/>
            <w:gridSpan w:val="2"/>
            <w:tcBorders>
              <w:top w:val="single" w:sz="4" w:space="0" w:color="auto"/>
            </w:tcBorders>
          </w:tcPr>
          <w:p w14:paraId="4271E6CC" w14:textId="77777777" w:rsidR="00B73173" w:rsidRPr="00E06F8B" w:rsidRDefault="00B73173" w:rsidP="008A2A58">
            <w:pPr>
              <w:jc w:val="center"/>
              <w:rPr>
                <w:sz w:val="20"/>
                <w:szCs w:val="20"/>
              </w:rPr>
            </w:pPr>
            <w:r w:rsidRPr="00E06F8B">
              <w:rPr>
                <w:sz w:val="20"/>
                <w:szCs w:val="20"/>
              </w:rPr>
              <w:t>Secondary</w:t>
            </w:r>
            <w:r w:rsidR="000E4CF5">
              <w:rPr>
                <w:sz w:val="20"/>
                <w:szCs w:val="20"/>
              </w:rPr>
              <w:t xml:space="preserve"> </w:t>
            </w:r>
            <w:r w:rsidRPr="00E06F8B">
              <w:rPr>
                <w:sz w:val="20"/>
                <w:szCs w:val="20"/>
              </w:rPr>
              <w:t>School</w:t>
            </w:r>
          </w:p>
          <w:p w14:paraId="26AFE678" w14:textId="77777777" w:rsidR="00B73173" w:rsidRPr="00E06F8B" w:rsidRDefault="00B73173" w:rsidP="008A2A58">
            <w:pPr>
              <w:jc w:val="center"/>
              <w:rPr>
                <w:i/>
                <w:sz w:val="20"/>
                <w:szCs w:val="20"/>
              </w:rPr>
            </w:pPr>
            <w:r w:rsidRPr="00E06F8B">
              <w:rPr>
                <w:sz w:val="20"/>
                <w:szCs w:val="20"/>
              </w:rPr>
              <w:t>(N</w:t>
            </w:r>
            <w:r w:rsidR="000E4CF5">
              <w:rPr>
                <w:sz w:val="20"/>
                <w:szCs w:val="20"/>
              </w:rPr>
              <w:t xml:space="preserve"> </w:t>
            </w:r>
            <w:r w:rsidRPr="00E06F8B">
              <w:rPr>
                <w:sz w:val="20"/>
                <w:szCs w:val="20"/>
              </w:rPr>
              <w:t>=</w:t>
            </w:r>
            <w:r w:rsidR="000E4CF5">
              <w:rPr>
                <w:sz w:val="20"/>
                <w:szCs w:val="20"/>
              </w:rPr>
              <w:t xml:space="preserve"> </w:t>
            </w:r>
            <w:r w:rsidRPr="00E06F8B">
              <w:rPr>
                <w:sz w:val="20"/>
                <w:szCs w:val="20"/>
              </w:rPr>
              <w:t>126)</w:t>
            </w:r>
          </w:p>
        </w:tc>
        <w:tc>
          <w:tcPr>
            <w:tcW w:w="1136" w:type="dxa"/>
            <w:vMerge w:val="restart"/>
            <w:tcBorders>
              <w:top w:val="single" w:sz="4" w:space="0" w:color="auto"/>
            </w:tcBorders>
          </w:tcPr>
          <w:p w14:paraId="45295293" w14:textId="77777777" w:rsidR="00B73173" w:rsidRPr="00E06F8B" w:rsidRDefault="00B73173" w:rsidP="008A2A58">
            <w:pPr>
              <w:jc w:val="center"/>
              <w:rPr>
                <w:sz w:val="20"/>
                <w:szCs w:val="20"/>
              </w:rPr>
            </w:pPr>
          </w:p>
          <w:p w14:paraId="5D51A818" w14:textId="77777777" w:rsidR="00B73173" w:rsidRPr="00E06F8B" w:rsidRDefault="00B73173" w:rsidP="008A2A58">
            <w:pPr>
              <w:jc w:val="center"/>
              <w:rPr>
                <w:i/>
                <w:sz w:val="20"/>
                <w:szCs w:val="20"/>
              </w:rPr>
            </w:pPr>
            <w:r w:rsidRPr="00E06F8B">
              <w:rPr>
                <w:i/>
                <w:sz w:val="20"/>
                <w:szCs w:val="20"/>
              </w:rPr>
              <w:t>F</w:t>
            </w:r>
          </w:p>
          <w:p w14:paraId="20AA80A1" w14:textId="77777777" w:rsidR="00B73173" w:rsidRPr="00E06F8B" w:rsidRDefault="00B73173" w:rsidP="008A2A58">
            <w:pPr>
              <w:jc w:val="center"/>
              <w:rPr>
                <w:sz w:val="20"/>
                <w:szCs w:val="20"/>
              </w:rPr>
            </w:pPr>
            <w:r w:rsidRPr="00E06F8B">
              <w:rPr>
                <w:sz w:val="20"/>
                <w:szCs w:val="20"/>
              </w:rPr>
              <w:t>(1,</w:t>
            </w:r>
            <w:r w:rsidR="000E4CF5">
              <w:rPr>
                <w:sz w:val="20"/>
                <w:szCs w:val="20"/>
              </w:rPr>
              <w:t xml:space="preserve"> </w:t>
            </w:r>
            <w:r w:rsidRPr="00E06F8B">
              <w:rPr>
                <w:sz w:val="20"/>
                <w:szCs w:val="20"/>
              </w:rPr>
              <w:t>303)</w:t>
            </w:r>
          </w:p>
        </w:tc>
      </w:tr>
      <w:tr w:rsidR="00B73173" w:rsidRPr="00E06F8B" w14:paraId="6AF9C771" w14:textId="77777777">
        <w:tc>
          <w:tcPr>
            <w:tcW w:w="2376" w:type="dxa"/>
            <w:vMerge/>
            <w:tcBorders>
              <w:bottom w:val="single" w:sz="4" w:space="0" w:color="auto"/>
            </w:tcBorders>
          </w:tcPr>
          <w:p w14:paraId="7822DB4B" w14:textId="77777777" w:rsidR="00B73173" w:rsidRPr="00E06F8B" w:rsidRDefault="00B73173" w:rsidP="008A2A58">
            <w:pPr>
              <w:rPr>
                <w:sz w:val="20"/>
                <w:szCs w:val="20"/>
              </w:rPr>
            </w:pPr>
          </w:p>
        </w:tc>
        <w:tc>
          <w:tcPr>
            <w:tcW w:w="680" w:type="dxa"/>
            <w:tcBorders>
              <w:bottom w:val="single" w:sz="4" w:space="0" w:color="auto"/>
            </w:tcBorders>
          </w:tcPr>
          <w:p w14:paraId="6C43B8D1" w14:textId="77777777" w:rsidR="00B73173" w:rsidRPr="00E06F8B" w:rsidRDefault="00B73173" w:rsidP="008A2A58">
            <w:pPr>
              <w:jc w:val="center"/>
              <w:rPr>
                <w:i/>
                <w:sz w:val="20"/>
                <w:szCs w:val="20"/>
              </w:rPr>
            </w:pPr>
            <w:r w:rsidRPr="00E06F8B">
              <w:rPr>
                <w:i/>
                <w:sz w:val="20"/>
                <w:szCs w:val="20"/>
              </w:rPr>
              <w:t>M</w:t>
            </w:r>
          </w:p>
        </w:tc>
        <w:tc>
          <w:tcPr>
            <w:tcW w:w="849" w:type="dxa"/>
            <w:tcBorders>
              <w:bottom w:val="single" w:sz="4" w:space="0" w:color="auto"/>
            </w:tcBorders>
          </w:tcPr>
          <w:p w14:paraId="7D160B67" w14:textId="77777777" w:rsidR="00B73173" w:rsidRPr="00E06F8B" w:rsidRDefault="00B73173" w:rsidP="008A2A58">
            <w:pPr>
              <w:jc w:val="center"/>
              <w:rPr>
                <w:i/>
                <w:sz w:val="20"/>
                <w:szCs w:val="20"/>
              </w:rPr>
            </w:pPr>
            <w:r w:rsidRPr="00E06F8B">
              <w:rPr>
                <w:i/>
                <w:sz w:val="20"/>
                <w:szCs w:val="20"/>
              </w:rPr>
              <w:t>SD</w:t>
            </w:r>
          </w:p>
        </w:tc>
        <w:tc>
          <w:tcPr>
            <w:tcW w:w="899" w:type="dxa"/>
            <w:tcBorders>
              <w:bottom w:val="single" w:sz="4" w:space="0" w:color="auto"/>
            </w:tcBorders>
          </w:tcPr>
          <w:p w14:paraId="51C07AC2" w14:textId="77777777" w:rsidR="00B73173" w:rsidRPr="00E06F8B" w:rsidRDefault="00B73173" w:rsidP="008A2A58">
            <w:pPr>
              <w:jc w:val="center"/>
              <w:rPr>
                <w:i/>
                <w:sz w:val="20"/>
                <w:szCs w:val="20"/>
              </w:rPr>
            </w:pPr>
            <w:r w:rsidRPr="00E06F8B">
              <w:rPr>
                <w:i/>
                <w:sz w:val="20"/>
                <w:szCs w:val="20"/>
              </w:rPr>
              <w:t>M</w:t>
            </w:r>
          </w:p>
        </w:tc>
        <w:tc>
          <w:tcPr>
            <w:tcW w:w="854" w:type="dxa"/>
            <w:tcBorders>
              <w:bottom w:val="single" w:sz="4" w:space="0" w:color="auto"/>
            </w:tcBorders>
          </w:tcPr>
          <w:p w14:paraId="6032468E" w14:textId="77777777" w:rsidR="00B73173" w:rsidRPr="00E06F8B" w:rsidRDefault="00B73173" w:rsidP="008A2A58">
            <w:pPr>
              <w:jc w:val="center"/>
              <w:rPr>
                <w:i/>
                <w:sz w:val="20"/>
                <w:szCs w:val="20"/>
              </w:rPr>
            </w:pPr>
            <w:r w:rsidRPr="00E06F8B">
              <w:rPr>
                <w:i/>
                <w:sz w:val="20"/>
                <w:szCs w:val="20"/>
              </w:rPr>
              <w:t>SD</w:t>
            </w:r>
          </w:p>
        </w:tc>
        <w:tc>
          <w:tcPr>
            <w:tcW w:w="1136" w:type="dxa"/>
            <w:vMerge/>
            <w:tcBorders>
              <w:bottom w:val="single" w:sz="4" w:space="0" w:color="auto"/>
            </w:tcBorders>
          </w:tcPr>
          <w:p w14:paraId="03C9ACE0" w14:textId="77777777" w:rsidR="00B73173" w:rsidRPr="00E06F8B" w:rsidRDefault="00B73173" w:rsidP="008A2A58">
            <w:pPr>
              <w:jc w:val="center"/>
              <w:rPr>
                <w:sz w:val="20"/>
                <w:szCs w:val="20"/>
              </w:rPr>
            </w:pPr>
          </w:p>
        </w:tc>
      </w:tr>
      <w:tr w:rsidR="00B73173" w:rsidRPr="00E06F8B" w14:paraId="68203C55" w14:textId="77777777">
        <w:tc>
          <w:tcPr>
            <w:tcW w:w="2376" w:type="dxa"/>
            <w:tcBorders>
              <w:top w:val="single" w:sz="4" w:space="0" w:color="auto"/>
            </w:tcBorders>
          </w:tcPr>
          <w:p w14:paraId="0B65317D" w14:textId="77777777" w:rsidR="00B73173" w:rsidRPr="00E06F8B" w:rsidRDefault="00B73173" w:rsidP="00045000">
            <w:pPr>
              <w:spacing w:after="100"/>
              <w:jc w:val="left"/>
              <w:rPr>
                <w:sz w:val="20"/>
                <w:szCs w:val="20"/>
              </w:rPr>
            </w:pPr>
            <w:r w:rsidRPr="00E06F8B">
              <w:rPr>
                <w:sz w:val="20"/>
                <w:szCs w:val="20"/>
              </w:rPr>
              <w:t>Teaching</w:t>
            </w:r>
            <w:r w:rsidR="000E4CF5">
              <w:rPr>
                <w:sz w:val="20"/>
                <w:szCs w:val="20"/>
              </w:rPr>
              <w:t xml:space="preserve"> </w:t>
            </w:r>
            <w:r w:rsidRPr="00E06F8B">
              <w:rPr>
                <w:sz w:val="20"/>
                <w:szCs w:val="20"/>
              </w:rPr>
              <w:t>as</w:t>
            </w:r>
            <w:r w:rsidR="000E4CF5">
              <w:rPr>
                <w:sz w:val="20"/>
                <w:szCs w:val="20"/>
              </w:rPr>
              <w:t xml:space="preserve"> </w:t>
            </w:r>
            <w:r w:rsidRPr="00E06F8B">
              <w:rPr>
                <w:sz w:val="20"/>
                <w:szCs w:val="20"/>
              </w:rPr>
              <w:t>broadcasting</w:t>
            </w:r>
            <w:r w:rsidR="000E4CF5">
              <w:rPr>
                <w:sz w:val="20"/>
                <w:szCs w:val="20"/>
              </w:rPr>
              <w:t xml:space="preserve"> </w:t>
            </w:r>
          </w:p>
        </w:tc>
        <w:tc>
          <w:tcPr>
            <w:tcW w:w="680" w:type="dxa"/>
            <w:tcBorders>
              <w:top w:val="single" w:sz="4" w:space="0" w:color="auto"/>
            </w:tcBorders>
          </w:tcPr>
          <w:p w14:paraId="44285091" w14:textId="77777777" w:rsidR="00B73173" w:rsidRPr="00E06F8B" w:rsidRDefault="00B73173" w:rsidP="00D41AA4">
            <w:pPr>
              <w:spacing w:after="100"/>
              <w:jc w:val="center"/>
              <w:rPr>
                <w:sz w:val="20"/>
                <w:szCs w:val="20"/>
              </w:rPr>
            </w:pPr>
            <w:r w:rsidRPr="00E06F8B">
              <w:rPr>
                <w:sz w:val="20"/>
                <w:szCs w:val="20"/>
              </w:rPr>
              <w:t>3.67</w:t>
            </w:r>
          </w:p>
        </w:tc>
        <w:tc>
          <w:tcPr>
            <w:tcW w:w="849" w:type="dxa"/>
            <w:tcBorders>
              <w:top w:val="single" w:sz="4" w:space="0" w:color="auto"/>
            </w:tcBorders>
          </w:tcPr>
          <w:p w14:paraId="59A7A171" w14:textId="77777777" w:rsidR="00B73173" w:rsidRPr="00E06F8B" w:rsidRDefault="00B73173" w:rsidP="00D41AA4">
            <w:pPr>
              <w:spacing w:after="100"/>
              <w:jc w:val="center"/>
              <w:rPr>
                <w:sz w:val="20"/>
                <w:szCs w:val="20"/>
              </w:rPr>
            </w:pPr>
            <w:r w:rsidRPr="00E06F8B">
              <w:rPr>
                <w:sz w:val="20"/>
                <w:szCs w:val="20"/>
              </w:rPr>
              <w:t>.66</w:t>
            </w:r>
          </w:p>
        </w:tc>
        <w:tc>
          <w:tcPr>
            <w:tcW w:w="899" w:type="dxa"/>
            <w:tcBorders>
              <w:top w:val="single" w:sz="4" w:space="0" w:color="auto"/>
            </w:tcBorders>
          </w:tcPr>
          <w:p w14:paraId="0EE952EE" w14:textId="77777777" w:rsidR="00B73173" w:rsidRPr="00E06F8B" w:rsidRDefault="00B73173" w:rsidP="00D41AA4">
            <w:pPr>
              <w:spacing w:after="100"/>
              <w:jc w:val="center"/>
              <w:rPr>
                <w:sz w:val="20"/>
                <w:szCs w:val="20"/>
              </w:rPr>
            </w:pPr>
            <w:r w:rsidRPr="00E06F8B">
              <w:rPr>
                <w:sz w:val="20"/>
                <w:szCs w:val="20"/>
              </w:rPr>
              <w:t>3.63</w:t>
            </w:r>
          </w:p>
        </w:tc>
        <w:tc>
          <w:tcPr>
            <w:tcW w:w="854" w:type="dxa"/>
            <w:tcBorders>
              <w:top w:val="single" w:sz="4" w:space="0" w:color="auto"/>
            </w:tcBorders>
          </w:tcPr>
          <w:p w14:paraId="281F3700" w14:textId="77777777" w:rsidR="00B73173" w:rsidRPr="00E06F8B" w:rsidRDefault="00B73173" w:rsidP="00D41AA4">
            <w:pPr>
              <w:spacing w:after="100"/>
              <w:jc w:val="center"/>
              <w:rPr>
                <w:sz w:val="20"/>
                <w:szCs w:val="20"/>
              </w:rPr>
            </w:pPr>
            <w:r w:rsidRPr="00E06F8B">
              <w:rPr>
                <w:sz w:val="20"/>
                <w:szCs w:val="20"/>
              </w:rPr>
              <w:t>.79</w:t>
            </w:r>
          </w:p>
        </w:tc>
        <w:tc>
          <w:tcPr>
            <w:tcW w:w="1136" w:type="dxa"/>
            <w:tcBorders>
              <w:top w:val="single" w:sz="4" w:space="0" w:color="auto"/>
            </w:tcBorders>
          </w:tcPr>
          <w:p w14:paraId="508DB9DD" w14:textId="77777777" w:rsidR="00B73173" w:rsidRPr="00E06F8B" w:rsidRDefault="00B73173" w:rsidP="00D41AA4">
            <w:pPr>
              <w:spacing w:after="100"/>
              <w:ind w:left="170"/>
              <w:jc w:val="center"/>
              <w:rPr>
                <w:sz w:val="20"/>
                <w:szCs w:val="20"/>
              </w:rPr>
            </w:pPr>
            <w:r w:rsidRPr="00E06F8B">
              <w:rPr>
                <w:sz w:val="20"/>
                <w:szCs w:val="20"/>
              </w:rPr>
              <w:t>0.00</w:t>
            </w:r>
          </w:p>
        </w:tc>
      </w:tr>
      <w:tr w:rsidR="00B73173" w:rsidRPr="00E06F8B" w14:paraId="07EEE06D" w14:textId="77777777">
        <w:tc>
          <w:tcPr>
            <w:tcW w:w="2376" w:type="dxa"/>
          </w:tcPr>
          <w:p w14:paraId="37B77C0B" w14:textId="77777777" w:rsidR="00B73173" w:rsidRPr="00E06F8B" w:rsidRDefault="008A2A58" w:rsidP="00045000">
            <w:pPr>
              <w:spacing w:after="100"/>
              <w:jc w:val="left"/>
            </w:pPr>
            <w:r w:rsidRPr="00E06F8B">
              <w:t>Teaching</w:t>
            </w:r>
            <w:r w:rsidR="000E4CF5">
              <w:t xml:space="preserve"> </w:t>
            </w:r>
            <w:r w:rsidRPr="00E06F8B">
              <w:t>as</w:t>
            </w:r>
            <w:r w:rsidR="000E4CF5">
              <w:t xml:space="preserve"> </w:t>
            </w:r>
            <w:r w:rsidRPr="00E06F8B">
              <w:t>learning</w:t>
            </w:r>
            <w:r w:rsidR="000E4CF5">
              <w:t xml:space="preserve"> </w:t>
            </w:r>
            <w:r w:rsidR="00B73173" w:rsidRPr="00E06F8B">
              <w:t>support</w:t>
            </w:r>
            <w:r w:rsidR="000E4CF5">
              <w:t xml:space="preserve"> </w:t>
            </w:r>
          </w:p>
        </w:tc>
        <w:tc>
          <w:tcPr>
            <w:tcW w:w="680" w:type="dxa"/>
          </w:tcPr>
          <w:p w14:paraId="151E92CE" w14:textId="77777777" w:rsidR="00B73173" w:rsidRPr="00E06F8B" w:rsidRDefault="00B73173" w:rsidP="00D41AA4">
            <w:pPr>
              <w:spacing w:after="100"/>
              <w:jc w:val="center"/>
              <w:rPr>
                <w:sz w:val="20"/>
                <w:szCs w:val="20"/>
              </w:rPr>
            </w:pPr>
            <w:r w:rsidRPr="00E06F8B">
              <w:rPr>
                <w:sz w:val="20"/>
                <w:szCs w:val="20"/>
              </w:rPr>
              <w:t>4.19</w:t>
            </w:r>
          </w:p>
        </w:tc>
        <w:tc>
          <w:tcPr>
            <w:tcW w:w="849" w:type="dxa"/>
          </w:tcPr>
          <w:p w14:paraId="50F2B663" w14:textId="77777777" w:rsidR="00B73173" w:rsidRPr="00E06F8B" w:rsidRDefault="00B73173" w:rsidP="00D41AA4">
            <w:pPr>
              <w:spacing w:after="100"/>
              <w:jc w:val="center"/>
              <w:rPr>
                <w:sz w:val="20"/>
                <w:szCs w:val="20"/>
              </w:rPr>
            </w:pPr>
            <w:r w:rsidRPr="00E06F8B">
              <w:rPr>
                <w:sz w:val="20"/>
                <w:szCs w:val="20"/>
              </w:rPr>
              <w:t>.52</w:t>
            </w:r>
          </w:p>
        </w:tc>
        <w:tc>
          <w:tcPr>
            <w:tcW w:w="899" w:type="dxa"/>
          </w:tcPr>
          <w:p w14:paraId="0A4BCDBC" w14:textId="77777777" w:rsidR="00B73173" w:rsidRPr="00E06F8B" w:rsidRDefault="00B73173" w:rsidP="00D41AA4">
            <w:pPr>
              <w:spacing w:after="100"/>
              <w:jc w:val="center"/>
              <w:rPr>
                <w:sz w:val="20"/>
                <w:szCs w:val="20"/>
              </w:rPr>
            </w:pPr>
            <w:r w:rsidRPr="00E06F8B">
              <w:rPr>
                <w:sz w:val="20"/>
                <w:szCs w:val="20"/>
              </w:rPr>
              <w:t>4.24</w:t>
            </w:r>
          </w:p>
        </w:tc>
        <w:tc>
          <w:tcPr>
            <w:tcW w:w="854" w:type="dxa"/>
          </w:tcPr>
          <w:p w14:paraId="192049A4" w14:textId="77777777" w:rsidR="00B73173" w:rsidRPr="00E06F8B" w:rsidRDefault="00B73173" w:rsidP="00D41AA4">
            <w:pPr>
              <w:spacing w:after="100"/>
              <w:jc w:val="center"/>
              <w:rPr>
                <w:sz w:val="20"/>
                <w:szCs w:val="20"/>
              </w:rPr>
            </w:pPr>
            <w:r w:rsidRPr="00E06F8B">
              <w:rPr>
                <w:sz w:val="20"/>
                <w:szCs w:val="20"/>
              </w:rPr>
              <w:t>.62</w:t>
            </w:r>
          </w:p>
        </w:tc>
        <w:tc>
          <w:tcPr>
            <w:tcW w:w="1136" w:type="dxa"/>
          </w:tcPr>
          <w:p w14:paraId="06B5CFBB" w14:textId="77777777" w:rsidR="00B73173" w:rsidRPr="00E06F8B" w:rsidRDefault="00B73173" w:rsidP="00D41AA4">
            <w:pPr>
              <w:spacing w:after="100"/>
              <w:ind w:left="170"/>
              <w:jc w:val="center"/>
              <w:rPr>
                <w:sz w:val="20"/>
                <w:szCs w:val="20"/>
              </w:rPr>
            </w:pPr>
            <w:r w:rsidRPr="00E06F8B">
              <w:rPr>
                <w:sz w:val="20"/>
                <w:szCs w:val="20"/>
              </w:rPr>
              <w:t>4.38*</w:t>
            </w:r>
          </w:p>
        </w:tc>
      </w:tr>
      <w:tr w:rsidR="00B73173" w:rsidRPr="00E06F8B" w14:paraId="611F0CE5" w14:textId="77777777">
        <w:tc>
          <w:tcPr>
            <w:tcW w:w="2376" w:type="dxa"/>
          </w:tcPr>
          <w:p w14:paraId="72245E81" w14:textId="77777777" w:rsidR="00B73173" w:rsidRPr="00E06F8B" w:rsidRDefault="00B73173" w:rsidP="00045000">
            <w:pPr>
              <w:spacing w:after="100"/>
              <w:jc w:val="left"/>
              <w:rPr>
                <w:sz w:val="20"/>
                <w:szCs w:val="20"/>
              </w:rPr>
            </w:pPr>
            <w:r w:rsidRPr="00E06F8B">
              <w:rPr>
                <w:sz w:val="20"/>
                <w:szCs w:val="20"/>
              </w:rPr>
              <w:t>Learning</w:t>
            </w:r>
            <w:r w:rsidR="000E4CF5">
              <w:rPr>
                <w:sz w:val="20"/>
                <w:szCs w:val="20"/>
              </w:rPr>
              <w:t xml:space="preserve"> </w:t>
            </w:r>
            <w:r w:rsidRPr="00E06F8B">
              <w:rPr>
                <w:sz w:val="20"/>
                <w:szCs w:val="20"/>
              </w:rPr>
              <w:t>driven</w:t>
            </w:r>
            <w:r w:rsidR="000E4CF5">
              <w:rPr>
                <w:sz w:val="20"/>
                <w:szCs w:val="20"/>
              </w:rPr>
              <w:t xml:space="preserve"> </w:t>
            </w:r>
            <w:r w:rsidRPr="00E06F8B">
              <w:rPr>
                <w:sz w:val="20"/>
                <w:szCs w:val="20"/>
              </w:rPr>
              <w:t>by</w:t>
            </w:r>
            <w:r w:rsidR="000E4CF5">
              <w:rPr>
                <w:sz w:val="20"/>
                <w:szCs w:val="20"/>
              </w:rPr>
              <w:t xml:space="preserve"> </w:t>
            </w:r>
            <w:r w:rsidRPr="00E06F8B">
              <w:rPr>
                <w:sz w:val="20"/>
                <w:szCs w:val="20"/>
              </w:rPr>
              <w:t>ability</w:t>
            </w:r>
          </w:p>
        </w:tc>
        <w:tc>
          <w:tcPr>
            <w:tcW w:w="680" w:type="dxa"/>
          </w:tcPr>
          <w:p w14:paraId="784A81CE" w14:textId="77777777" w:rsidR="00B73173" w:rsidRPr="00E06F8B" w:rsidRDefault="00B73173" w:rsidP="00D41AA4">
            <w:pPr>
              <w:spacing w:after="100"/>
              <w:jc w:val="center"/>
              <w:rPr>
                <w:sz w:val="20"/>
                <w:szCs w:val="20"/>
              </w:rPr>
            </w:pPr>
            <w:r w:rsidRPr="00E06F8B">
              <w:rPr>
                <w:sz w:val="20"/>
                <w:szCs w:val="20"/>
              </w:rPr>
              <w:t>3.38</w:t>
            </w:r>
          </w:p>
        </w:tc>
        <w:tc>
          <w:tcPr>
            <w:tcW w:w="849" w:type="dxa"/>
          </w:tcPr>
          <w:p w14:paraId="5D62C148" w14:textId="77777777" w:rsidR="00B73173" w:rsidRPr="00E06F8B" w:rsidRDefault="00B73173" w:rsidP="00D41AA4">
            <w:pPr>
              <w:spacing w:after="100"/>
              <w:jc w:val="center"/>
              <w:rPr>
                <w:sz w:val="20"/>
                <w:szCs w:val="20"/>
              </w:rPr>
            </w:pPr>
            <w:r w:rsidRPr="00E06F8B">
              <w:rPr>
                <w:sz w:val="20"/>
                <w:szCs w:val="20"/>
              </w:rPr>
              <w:t>.56</w:t>
            </w:r>
          </w:p>
        </w:tc>
        <w:tc>
          <w:tcPr>
            <w:tcW w:w="899" w:type="dxa"/>
          </w:tcPr>
          <w:p w14:paraId="309DD454" w14:textId="77777777" w:rsidR="00B73173" w:rsidRPr="00E06F8B" w:rsidRDefault="00B73173" w:rsidP="00D41AA4">
            <w:pPr>
              <w:spacing w:after="100"/>
              <w:jc w:val="center"/>
              <w:rPr>
                <w:sz w:val="20"/>
                <w:szCs w:val="20"/>
              </w:rPr>
            </w:pPr>
            <w:r w:rsidRPr="00E06F8B">
              <w:rPr>
                <w:sz w:val="20"/>
                <w:szCs w:val="20"/>
              </w:rPr>
              <w:t>3.31</w:t>
            </w:r>
          </w:p>
        </w:tc>
        <w:tc>
          <w:tcPr>
            <w:tcW w:w="854" w:type="dxa"/>
          </w:tcPr>
          <w:p w14:paraId="31E766F2" w14:textId="77777777" w:rsidR="00B73173" w:rsidRPr="00E06F8B" w:rsidRDefault="00B73173" w:rsidP="00D41AA4">
            <w:pPr>
              <w:spacing w:after="100"/>
              <w:jc w:val="center"/>
              <w:rPr>
                <w:sz w:val="20"/>
                <w:szCs w:val="20"/>
              </w:rPr>
            </w:pPr>
            <w:r w:rsidRPr="00E06F8B">
              <w:rPr>
                <w:sz w:val="20"/>
                <w:szCs w:val="20"/>
              </w:rPr>
              <w:t>.58</w:t>
            </w:r>
          </w:p>
        </w:tc>
        <w:tc>
          <w:tcPr>
            <w:tcW w:w="1136" w:type="dxa"/>
          </w:tcPr>
          <w:p w14:paraId="15650FE2" w14:textId="77777777" w:rsidR="00B73173" w:rsidRPr="00E06F8B" w:rsidRDefault="00B73173" w:rsidP="00D41AA4">
            <w:pPr>
              <w:spacing w:after="100"/>
              <w:ind w:left="170"/>
              <w:jc w:val="center"/>
              <w:rPr>
                <w:sz w:val="20"/>
                <w:szCs w:val="20"/>
              </w:rPr>
            </w:pPr>
            <w:r w:rsidRPr="00E06F8B">
              <w:rPr>
                <w:sz w:val="20"/>
                <w:szCs w:val="20"/>
              </w:rPr>
              <w:t>5.62*</w:t>
            </w:r>
          </w:p>
        </w:tc>
      </w:tr>
      <w:tr w:rsidR="00B73173" w:rsidRPr="00E06F8B" w14:paraId="6DB14B03" w14:textId="77777777">
        <w:tc>
          <w:tcPr>
            <w:tcW w:w="2376" w:type="dxa"/>
          </w:tcPr>
          <w:p w14:paraId="7F3E8514" w14:textId="77777777" w:rsidR="00B73173" w:rsidRPr="00E06F8B" w:rsidRDefault="00B73173" w:rsidP="00045000">
            <w:pPr>
              <w:spacing w:after="100"/>
              <w:jc w:val="left"/>
              <w:rPr>
                <w:sz w:val="20"/>
                <w:szCs w:val="20"/>
              </w:rPr>
            </w:pPr>
            <w:r w:rsidRPr="00E06F8B">
              <w:rPr>
                <w:sz w:val="20"/>
                <w:szCs w:val="20"/>
              </w:rPr>
              <w:t>Learning</w:t>
            </w:r>
            <w:r w:rsidR="000E4CF5">
              <w:rPr>
                <w:sz w:val="20"/>
                <w:szCs w:val="20"/>
              </w:rPr>
              <w:t xml:space="preserve"> </w:t>
            </w:r>
            <w:r w:rsidRPr="00E06F8B">
              <w:rPr>
                <w:sz w:val="20"/>
                <w:szCs w:val="20"/>
              </w:rPr>
              <w:t>driven</w:t>
            </w:r>
            <w:r w:rsidR="000E4CF5">
              <w:rPr>
                <w:sz w:val="20"/>
                <w:szCs w:val="20"/>
              </w:rPr>
              <w:t xml:space="preserve"> </w:t>
            </w:r>
            <w:r w:rsidRPr="00E06F8B">
              <w:rPr>
                <w:sz w:val="20"/>
                <w:szCs w:val="20"/>
              </w:rPr>
              <w:t>by</w:t>
            </w:r>
            <w:r w:rsidR="000E4CF5">
              <w:rPr>
                <w:sz w:val="20"/>
                <w:szCs w:val="20"/>
              </w:rPr>
              <w:t xml:space="preserve"> </w:t>
            </w:r>
            <w:r w:rsidRPr="00E06F8B">
              <w:rPr>
                <w:sz w:val="20"/>
                <w:szCs w:val="20"/>
              </w:rPr>
              <w:t>effort</w:t>
            </w:r>
            <w:r w:rsidR="000E4CF5">
              <w:rPr>
                <w:sz w:val="20"/>
                <w:szCs w:val="20"/>
              </w:rPr>
              <w:t xml:space="preserve"> </w:t>
            </w:r>
          </w:p>
        </w:tc>
        <w:tc>
          <w:tcPr>
            <w:tcW w:w="680" w:type="dxa"/>
          </w:tcPr>
          <w:p w14:paraId="1C8452F1" w14:textId="77777777" w:rsidR="00B73173" w:rsidRPr="00E06F8B" w:rsidRDefault="00B73173" w:rsidP="00D41AA4">
            <w:pPr>
              <w:spacing w:after="100"/>
              <w:jc w:val="center"/>
              <w:rPr>
                <w:sz w:val="20"/>
                <w:szCs w:val="20"/>
              </w:rPr>
            </w:pPr>
            <w:r w:rsidRPr="00E06F8B">
              <w:rPr>
                <w:sz w:val="20"/>
                <w:szCs w:val="20"/>
              </w:rPr>
              <w:t>3.63</w:t>
            </w:r>
          </w:p>
        </w:tc>
        <w:tc>
          <w:tcPr>
            <w:tcW w:w="849" w:type="dxa"/>
          </w:tcPr>
          <w:p w14:paraId="1B6EB900" w14:textId="77777777" w:rsidR="00B73173" w:rsidRPr="00E06F8B" w:rsidRDefault="00B73173" w:rsidP="00D41AA4">
            <w:pPr>
              <w:spacing w:after="100"/>
              <w:jc w:val="center"/>
              <w:rPr>
                <w:sz w:val="20"/>
                <w:szCs w:val="20"/>
              </w:rPr>
            </w:pPr>
            <w:r w:rsidRPr="00E06F8B">
              <w:rPr>
                <w:sz w:val="20"/>
                <w:szCs w:val="20"/>
              </w:rPr>
              <w:t>.54</w:t>
            </w:r>
          </w:p>
        </w:tc>
        <w:tc>
          <w:tcPr>
            <w:tcW w:w="899" w:type="dxa"/>
          </w:tcPr>
          <w:p w14:paraId="01BBF97D" w14:textId="77777777" w:rsidR="00B73173" w:rsidRPr="00E06F8B" w:rsidRDefault="00B73173" w:rsidP="00D41AA4">
            <w:pPr>
              <w:spacing w:after="100"/>
              <w:jc w:val="center"/>
              <w:rPr>
                <w:sz w:val="20"/>
                <w:szCs w:val="20"/>
              </w:rPr>
            </w:pPr>
            <w:r w:rsidRPr="00E06F8B">
              <w:rPr>
                <w:sz w:val="20"/>
                <w:szCs w:val="20"/>
              </w:rPr>
              <w:t>3.63</w:t>
            </w:r>
          </w:p>
        </w:tc>
        <w:tc>
          <w:tcPr>
            <w:tcW w:w="854" w:type="dxa"/>
          </w:tcPr>
          <w:p w14:paraId="235EE4A3" w14:textId="77777777" w:rsidR="00B73173" w:rsidRPr="00E06F8B" w:rsidRDefault="00B73173" w:rsidP="00D41AA4">
            <w:pPr>
              <w:spacing w:after="100"/>
              <w:jc w:val="center"/>
              <w:rPr>
                <w:sz w:val="20"/>
                <w:szCs w:val="20"/>
              </w:rPr>
            </w:pPr>
            <w:r w:rsidRPr="00E06F8B">
              <w:rPr>
                <w:sz w:val="20"/>
                <w:szCs w:val="20"/>
              </w:rPr>
              <w:t>.57</w:t>
            </w:r>
          </w:p>
        </w:tc>
        <w:tc>
          <w:tcPr>
            <w:tcW w:w="1136" w:type="dxa"/>
          </w:tcPr>
          <w:p w14:paraId="0A760BD9" w14:textId="77777777" w:rsidR="00B73173" w:rsidRPr="00E06F8B" w:rsidRDefault="00B73173" w:rsidP="00D41AA4">
            <w:pPr>
              <w:spacing w:after="100"/>
              <w:ind w:left="170"/>
              <w:jc w:val="center"/>
              <w:rPr>
                <w:sz w:val="20"/>
                <w:szCs w:val="20"/>
              </w:rPr>
            </w:pPr>
            <w:r w:rsidRPr="00E06F8B">
              <w:rPr>
                <w:sz w:val="20"/>
                <w:szCs w:val="20"/>
              </w:rPr>
              <w:t>0.92</w:t>
            </w:r>
          </w:p>
        </w:tc>
      </w:tr>
      <w:tr w:rsidR="00B73173" w:rsidRPr="00E06F8B" w14:paraId="3D8C0192" w14:textId="77777777">
        <w:tc>
          <w:tcPr>
            <w:tcW w:w="2376" w:type="dxa"/>
            <w:tcBorders>
              <w:bottom w:val="single" w:sz="4" w:space="0" w:color="auto"/>
            </w:tcBorders>
          </w:tcPr>
          <w:p w14:paraId="4597A15C" w14:textId="77777777" w:rsidR="00B73173" w:rsidRPr="00E06F8B" w:rsidRDefault="00B73173" w:rsidP="00045000">
            <w:pPr>
              <w:spacing w:after="100"/>
              <w:jc w:val="left"/>
              <w:rPr>
                <w:sz w:val="20"/>
                <w:szCs w:val="20"/>
              </w:rPr>
            </w:pPr>
            <w:r w:rsidRPr="00E06F8B">
              <w:rPr>
                <w:sz w:val="20"/>
                <w:szCs w:val="20"/>
              </w:rPr>
              <w:t>Superstitious</w:t>
            </w:r>
            <w:r w:rsidR="000E4CF5">
              <w:rPr>
                <w:sz w:val="20"/>
                <w:szCs w:val="20"/>
              </w:rPr>
              <w:t xml:space="preserve"> </w:t>
            </w:r>
            <w:r w:rsidRPr="00E06F8B">
              <w:rPr>
                <w:sz w:val="20"/>
                <w:szCs w:val="20"/>
              </w:rPr>
              <w:t>beliefs</w:t>
            </w:r>
          </w:p>
        </w:tc>
        <w:tc>
          <w:tcPr>
            <w:tcW w:w="680" w:type="dxa"/>
            <w:tcBorders>
              <w:bottom w:val="single" w:sz="4" w:space="0" w:color="auto"/>
            </w:tcBorders>
          </w:tcPr>
          <w:p w14:paraId="65161638" w14:textId="77777777" w:rsidR="00B73173" w:rsidRPr="00E06F8B" w:rsidRDefault="00B73173" w:rsidP="00D41AA4">
            <w:pPr>
              <w:spacing w:after="100"/>
              <w:jc w:val="center"/>
              <w:rPr>
                <w:sz w:val="20"/>
                <w:szCs w:val="20"/>
              </w:rPr>
            </w:pPr>
            <w:r w:rsidRPr="00E06F8B">
              <w:rPr>
                <w:sz w:val="20"/>
                <w:szCs w:val="20"/>
              </w:rPr>
              <w:t>2.30</w:t>
            </w:r>
          </w:p>
        </w:tc>
        <w:tc>
          <w:tcPr>
            <w:tcW w:w="849" w:type="dxa"/>
            <w:tcBorders>
              <w:bottom w:val="single" w:sz="4" w:space="0" w:color="auto"/>
            </w:tcBorders>
          </w:tcPr>
          <w:p w14:paraId="1B5F4D58" w14:textId="77777777" w:rsidR="00B73173" w:rsidRPr="00E06F8B" w:rsidRDefault="00B73173" w:rsidP="00D41AA4">
            <w:pPr>
              <w:spacing w:after="100"/>
              <w:jc w:val="center"/>
              <w:rPr>
                <w:sz w:val="20"/>
                <w:szCs w:val="20"/>
              </w:rPr>
            </w:pPr>
            <w:r w:rsidRPr="00E06F8B">
              <w:rPr>
                <w:sz w:val="20"/>
                <w:szCs w:val="20"/>
              </w:rPr>
              <w:t>.95</w:t>
            </w:r>
          </w:p>
        </w:tc>
        <w:tc>
          <w:tcPr>
            <w:tcW w:w="899" w:type="dxa"/>
            <w:tcBorders>
              <w:bottom w:val="single" w:sz="4" w:space="0" w:color="auto"/>
            </w:tcBorders>
          </w:tcPr>
          <w:p w14:paraId="3226EB22" w14:textId="77777777" w:rsidR="00B73173" w:rsidRPr="00E06F8B" w:rsidRDefault="00B73173" w:rsidP="00D41AA4">
            <w:pPr>
              <w:spacing w:after="100"/>
              <w:jc w:val="center"/>
              <w:rPr>
                <w:sz w:val="20"/>
                <w:szCs w:val="20"/>
              </w:rPr>
            </w:pPr>
            <w:r w:rsidRPr="00E06F8B">
              <w:rPr>
                <w:sz w:val="20"/>
                <w:szCs w:val="20"/>
              </w:rPr>
              <w:t>2.10</w:t>
            </w:r>
          </w:p>
        </w:tc>
        <w:tc>
          <w:tcPr>
            <w:tcW w:w="854" w:type="dxa"/>
            <w:tcBorders>
              <w:bottom w:val="single" w:sz="4" w:space="0" w:color="auto"/>
            </w:tcBorders>
          </w:tcPr>
          <w:p w14:paraId="1A1739BE" w14:textId="77777777" w:rsidR="00B73173" w:rsidRPr="00E06F8B" w:rsidRDefault="00B73173" w:rsidP="00D41AA4">
            <w:pPr>
              <w:spacing w:after="100"/>
              <w:jc w:val="center"/>
              <w:rPr>
                <w:sz w:val="20"/>
                <w:szCs w:val="20"/>
              </w:rPr>
            </w:pPr>
            <w:r w:rsidRPr="00E06F8B">
              <w:rPr>
                <w:sz w:val="20"/>
                <w:szCs w:val="20"/>
              </w:rPr>
              <w:t>.90</w:t>
            </w:r>
          </w:p>
        </w:tc>
        <w:tc>
          <w:tcPr>
            <w:tcW w:w="1136" w:type="dxa"/>
            <w:tcBorders>
              <w:bottom w:val="single" w:sz="4" w:space="0" w:color="auto"/>
            </w:tcBorders>
          </w:tcPr>
          <w:p w14:paraId="080EDEF5" w14:textId="77777777" w:rsidR="00B73173" w:rsidRPr="00E06F8B" w:rsidRDefault="00B73173" w:rsidP="00D41AA4">
            <w:pPr>
              <w:spacing w:after="100"/>
              <w:ind w:left="170"/>
              <w:jc w:val="center"/>
              <w:rPr>
                <w:sz w:val="20"/>
                <w:szCs w:val="20"/>
              </w:rPr>
            </w:pPr>
            <w:r w:rsidRPr="00E06F8B">
              <w:rPr>
                <w:sz w:val="20"/>
                <w:szCs w:val="20"/>
              </w:rPr>
              <w:t>36.09***</w:t>
            </w:r>
          </w:p>
        </w:tc>
      </w:tr>
    </w:tbl>
    <w:p w14:paraId="3F250A17" w14:textId="77777777" w:rsidR="00B73173" w:rsidRDefault="00B73173" w:rsidP="008A2A58">
      <w:r w:rsidRPr="00E06F8B">
        <w:t>*</w:t>
      </w:r>
      <w:proofErr w:type="gramStart"/>
      <w:r w:rsidRPr="00E06F8B">
        <w:rPr>
          <w:i/>
        </w:rPr>
        <w:t>p</w:t>
      </w:r>
      <w:proofErr w:type="gramEnd"/>
      <w:r w:rsidR="000E4CF5">
        <w:t xml:space="preserve"> </w:t>
      </w:r>
      <w:r w:rsidR="00BA0C4A">
        <w:t>&lt; .</w:t>
      </w:r>
      <w:r w:rsidR="000E4CF5">
        <w:t xml:space="preserve"> </w:t>
      </w:r>
      <w:r w:rsidRPr="00E06F8B">
        <w:t>05,</w:t>
      </w:r>
      <w:r w:rsidR="000E4CF5">
        <w:t xml:space="preserve"> </w:t>
      </w:r>
      <w:r w:rsidRPr="00E06F8B">
        <w:t>***</w:t>
      </w:r>
      <w:r w:rsidRPr="00E06F8B">
        <w:rPr>
          <w:i/>
        </w:rPr>
        <w:t>p</w:t>
      </w:r>
      <w:r w:rsidR="000E4CF5">
        <w:t xml:space="preserve"> </w:t>
      </w:r>
      <w:r w:rsidRPr="00E06F8B">
        <w:t>&lt;</w:t>
      </w:r>
      <w:r w:rsidR="000E4CF5">
        <w:t xml:space="preserve"> </w:t>
      </w:r>
      <w:r w:rsidR="003C3691">
        <w:t>.0001</w:t>
      </w:r>
    </w:p>
    <w:p w14:paraId="0B00FC36" w14:textId="77777777" w:rsidR="00280A9F" w:rsidRPr="00E06F8B" w:rsidRDefault="00280A9F" w:rsidP="008A2A58"/>
    <w:p w14:paraId="3FD84DA7" w14:textId="77777777" w:rsidR="000D40C5" w:rsidRPr="00280A9F" w:rsidRDefault="000D40C5" w:rsidP="00280A9F">
      <w:pPr>
        <w:pStyle w:val="SEI-TableFigureheading"/>
      </w:pPr>
      <w:r w:rsidRPr="00280A9F">
        <w:t>Table</w:t>
      </w:r>
      <w:r w:rsidR="000E4CF5" w:rsidRPr="00280A9F">
        <w:t xml:space="preserve"> </w:t>
      </w:r>
      <w:r w:rsidRPr="00280A9F">
        <w:t>3.</w:t>
      </w:r>
      <w:r w:rsidR="001D0537">
        <w:tab/>
      </w:r>
      <w:r w:rsidRPr="00280A9F">
        <w:t>Pedagogical</w:t>
      </w:r>
      <w:r w:rsidR="000E4CF5" w:rsidRPr="00280A9F">
        <w:t xml:space="preserve"> </w:t>
      </w:r>
      <w:r w:rsidRPr="00280A9F">
        <w:t>beliefs</w:t>
      </w:r>
      <w:r w:rsidR="000E4CF5" w:rsidRPr="00280A9F">
        <w:t xml:space="preserve"> </w:t>
      </w:r>
      <w:r w:rsidRPr="00280A9F">
        <w:t>of</w:t>
      </w:r>
      <w:r w:rsidR="000E4CF5" w:rsidRPr="00280A9F">
        <w:t xml:space="preserve"> </w:t>
      </w:r>
      <w:r w:rsidRPr="00280A9F">
        <w:t>science</w:t>
      </w:r>
      <w:r w:rsidR="000E4CF5" w:rsidRPr="00280A9F">
        <w:t xml:space="preserve"> </w:t>
      </w:r>
      <w:r w:rsidRPr="00280A9F">
        <w:t>majors</w:t>
      </w:r>
      <w:r w:rsidR="000E4CF5" w:rsidRPr="00280A9F">
        <w:t xml:space="preserve"> </w:t>
      </w:r>
      <w:r w:rsidRPr="00280A9F">
        <w:t>and</w:t>
      </w:r>
      <w:r w:rsidR="000E4CF5" w:rsidRPr="00280A9F">
        <w:t xml:space="preserve"> </w:t>
      </w:r>
      <w:r w:rsidRPr="00280A9F">
        <w:t>non-science</w:t>
      </w:r>
      <w:r w:rsidR="000E4CF5" w:rsidRPr="00280A9F">
        <w:t xml:space="preserve"> </w:t>
      </w:r>
      <w:r w:rsidRPr="00280A9F">
        <w:t>majors</w:t>
      </w:r>
      <w:r w:rsidR="000E4CF5" w:rsidRPr="00280A9F">
        <w:t xml:space="preserve"> </w:t>
      </w:r>
    </w:p>
    <w:tbl>
      <w:tblPr>
        <w:tblW w:w="5064" w:type="pct"/>
        <w:tblLayout w:type="fixed"/>
        <w:tblLook w:val="00A0" w:firstRow="1" w:lastRow="0" w:firstColumn="1" w:lastColumn="0" w:noHBand="0" w:noVBand="0"/>
      </w:tblPr>
      <w:tblGrid>
        <w:gridCol w:w="2335"/>
        <w:gridCol w:w="611"/>
        <w:gridCol w:w="863"/>
        <w:gridCol w:w="863"/>
        <w:gridCol w:w="1018"/>
        <w:gridCol w:w="1082"/>
      </w:tblGrid>
      <w:tr w:rsidR="000D40C5" w:rsidRPr="00E06F8B" w14:paraId="120B2394" w14:textId="77777777">
        <w:tc>
          <w:tcPr>
            <w:tcW w:w="2334" w:type="dxa"/>
            <w:vMerge w:val="restart"/>
            <w:tcBorders>
              <w:top w:val="single" w:sz="4" w:space="0" w:color="auto"/>
            </w:tcBorders>
          </w:tcPr>
          <w:p w14:paraId="6827D5AF" w14:textId="77777777" w:rsidR="000D40C5" w:rsidRPr="00E06F8B" w:rsidRDefault="000D40C5" w:rsidP="000D40C5">
            <w:pPr>
              <w:rPr>
                <w:sz w:val="20"/>
                <w:szCs w:val="20"/>
              </w:rPr>
            </w:pPr>
            <w:r w:rsidRPr="00E06F8B">
              <w:rPr>
                <w:sz w:val="20"/>
                <w:szCs w:val="20"/>
              </w:rPr>
              <w:t>Beliefs</w:t>
            </w:r>
          </w:p>
        </w:tc>
        <w:tc>
          <w:tcPr>
            <w:tcW w:w="1474" w:type="dxa"/>
            <w:gridSpan w:val="2"/>
            <w:tcBorders>
              <w:top w:val="single" w:sz="4" w:space="0" w:color="auto"/>
            </w:tcBorders>
          </w:tcPr>
          <w:p w14:paraId="5B3D887E" w14:textId="77777777" w:rsidR="000D40C5" w:rsidRPr="00E06F8B" w:rsidRDefault="000D40C5" w:rsidP="000D40C5">
            <w:pPr>
              <w:jc w:val="center"/>
              <w:rPr>
                <w:sz w:val="20"/>
                <w:szCs w:val="20"/>
              </w:rPr>
            </w:pPr>
            <w:r w:rsidRPr="00E06F8B">
              <w:rPr>
                <w:sz w:val="20"/>
                <w:szCs w:val="20"/>
              </w:rPr>
              <w:t>Science</w:t>
            </w:r>
            <w:r w:rsidR="000E4CF5">
              <w:rPr>
                <w:sz w:val="20"/>
                <w:szCs w:val="20"/>
              </w:rPr>
              <w:t xml:space="preserve"> </w:t>
            </w:r>
            <w:r w:rsidRPr="00E06F8B">
              <w:rPr>
                <w:sz w:val="20"/>
                <w:szCs w:val="20"/>
              </w:rPr>
              <w:t>Major</w:t>
            </w:r>
          </w:p>
          <w:p w14:paraId="62AA3585" w14:textId="77777777" w:rsidR="000D40C5" w:rsidRPr="00E06F8B" w:rsidRDefault="000D40C5" w:rsidP="000D40C5">
            <w:pPr>
              <w:jc w:val="center"/>
              <w:rPr>
                <w:i/>
                <w:sz w:val="20"/>
                <w:szCs w:val="20"/>
              </w:rPr>
            </w:pPr>
            <w:r w:rsidRPr="00E06F8B">
              <w:rPr>
                <w:sz w:val="20"/>
                <w:szCs w:val="20"/>
              </w:rPr>
              <w:t>(N</w:t>
            </w:r>
            <w:r w:rsidR="000E4CF5">
              <w:rPr>
                <w:sz w:val="20"/>
                <w:szCs w:val="20"/>
              </w:rPr>
              <w:t xml:space="preserve"> </w:t>
            </w:r>
            <w:r w:rsidRPr="00E06F8B">
              <w:rPr>
                <w:sz w:val="20"/>
                <w:szCs w:val="20"/>
              </w:rPr>
              <w:t>=</w:t>
            </w:r>
            <w:r w:rsidR="000E4CF5">
              <w:rPr>
                <w:sz w:val="20"/>
                <w:szCs w:val="20"/>
              </w:rPr>
              <w:t xml:space="preserve"> </w:t>
            </w:r>
            <w:r w:rsidRPr="00E06F8B">
              <w:rPr>
                <w:sz w:val="20"/>
                <w:szCs w:val="20"/>
              </w:rPr>
              <w:t>105)</w:t>
            </w:r>
          </w:p>
        </w:tc>
        <w:tc>
          <w:tcPr>
            <w:tcW w:w="1881" w:type="dxa"/>
            <w:gridSpan w:val="2"/>
            <w:tcBorders>
              <w:top w:val="single" w:sz="4" w:space="0" w:color="auto"/>
            </w:tcBorders>
          </w:tcPr>
          <w:p w14:paraId="36D410CD" w14:textId="77777777" w:rsidR="000D40C5" w:rsidRPr="00E06F8B" w:rsidRDefault="000D40C5" w:rsidP="000D40C5">
            <w:pPr>
              <w:jc w:val="center"/>
              <w:rPr>
                <w:sz w:val="20"/>
                <w:szCs w:val="20"/>
              </w:rPr>
            </w:pPr>
            <w:r w:rsidRPr="00E06F8B">
              <w:rPr>
                <w:sz w:val="20"/>
                <w:szCs w:val="20"/>
              </w:rPr>
              <w:t>Non-Science</w:t>
            </w:r>
            <w:r w:rsidR="000E4CF5">
              <w:rPr>
                <w:sz w:val="20"/>
                <w:szCs w:val="20"/>
              </w:rPr>
              <w:t xml:space="preserve"> </w:t>
            </w:r>
            <w:r w:rsidRPr="00E06F8B">
              <w:rPr>
                <w:sz w:val="20"/>
                <w:szCs w:val="20"/>
              </w:rPr>
              <w:t>Major</w:t>
            </w:r>
          </w:p>
          <w:p w14:paraId="00954804" w14:textId="77777777" w:rsidR="000D40C5" w:rsidRPr="00E06F8B" w:rsidRDefault="000D40C5" w:rsidP="000D40C5">
            <w:pPr>
              <w:jc w:val="center"/>
              <w:rPr>
                <w:i/>
                <w:sz w:val="20"/>
                <w:szCs w:val="20"/>
              </w:rPr>
            </w:pPr>
            <w:r w:rsidRPr="00E06F8B">
              <w:rPr>
                <w:sz w:val="20"/>
                <w:szCs w:val="20"/>
              </w:rPr>
              <w:t>(N</w:t>
            </w:r>
            <w:r w:rsidR="000E4CF5">
              <w:rPr>
                <w:sz w:val="20"/>
                <w:szCs w:val="20"/>
              </w:rPr>
              <w:t xml:space="preserve"> </w:t>
            </w:r>
            <w:r w:rsidRPr="00E06F8B">
              <w:rPr>
                <w:sz w:val="20"/>
                <w:szCs w:val="20"/>
              </w:rPr>
              <w:t>=</w:t>
            </w:r>
            <w:r w:rsidR="000E4CF5">
              <w:rPr>
                <w:sz w:val="20"/>
                <w:szCs w:val="20"/>
              </w:rPr>
              <w:t xml:space="preserve"> </w:t>
            </w:r>
            <w:r w:rsidRPr="00E06F8B">
              <w:rPr>
                <w:sz w:val="20"/>
                <w:szCs w:val="20"/>
              </w:rPr>
              <w:t>200)</w:t>
            </w:r>
          </w:p>
        </w:tc>
        <w:tc>
          <w:tcPr>
            <w:tcW w:w="1082" w:type="dxa"/>
            <w:vMerge w:val="restart"/>
            <w:tcBorders>
              <w:top w:val="single" w:sz="4" w:space="0" w:color="auto"/>
            </w:tcBorders>
            <w:tcMar>
              <w:left w:w="0" w:type="dxa"/>
              <w:right w:w="0" w:type="dxa"/>
            </w:tcMar>
          </w:tcPr>
          <w:p w14:paraId="79F87620" w14:textId="77777777" w:rsidR="000D40C5" w:rsidRPr="00E06F8B" w:rsidRDefault="000D40C5" w:rsidP="000D40C5">
            <w:pPr>
              <w:jc w:val="center"/>
              <w:rPr>
                <w:sz w:val="20"/>
                <w:szCs w:val="20"/>
              </w:rPr>
            </w:pPr>
          </w:p>
          <w:p w14:paraId="4BD89E10" w14:textId="77777777" w:rsidR="000D40C5" w:rsidRPr="00E06F8B" w:rsidRDefault="000D40C5" w:rsidP="000D40C5">
            <w:pPr>
              <w:jc w:val="center"/>
              <w:rPr>
                <w:i/>
                <w:sz w:val="20"/>
                <w:szCs w:val="20"/>
              </w:rPr>
            </w:pPr>
            <w:r w:rsidRPr="00E06F8B">
              <w:rPr>
                <w:i/>
                <w:sz w:val="20"/>
                <w:szCs w:val="20"/>
              </w:rPr>
              <w:t>F</w:t>
            </w:r>
          </w:p>
          <w:p w14:paraId="5034BB88" w14:textId="77777777" w:rsidR="000D40C5" w:rsidRPr="00E06F8B" w:rsidRDefault="000D40C5" w:rsidP="000D40C5">
            <w:pPr>
              <w:jc w:val="center"/>
              <w:rPr>
                <w:sz w:val="20"/>
                <w:szCs w:val="20"/>
              </w:rPr>
            </w:pPr>
            <w:r w:rsidRPr="00E06F8B">
              <w:rPr>
                <w:sz w:val="20"/>
                <w:szCs w:val="20"/>
              </w:rPr>
              <w:t>(1,</w:t>
            </w:r>
            <w:r w:rsidR="000E4CF5">
              <w:rPr>
                <w:sz w:val="20"/>
                <w:szCs w:val="20"/>
              </w:rPr>
              <w:t xml:space="preserve"> </w:t>
            </w:r>
            <w:r w:rsidRPr="00E06F8B">
              <w:rPr>
                <w:sz w:val="20"/>
                <w:szCs w:val="20"/>
              </w:rPr>
              <w:t>303)</w:t>
            </w:r>
          </w:p>
        </w:tc>
      </w:tr>
      <w:tr w:rsidR="000D40C5" w:rsidRPr="00E06F8B" w14:paraId="64F0F76A" w14:textId="77777777">
        <w:tc>
          <w:tcPr>
            <w:tcW w:w="2334" w:type="dxa"/>
            <w:vMerge/>
            <w:tcBorders>
              <w:bottom w:val="single" w:sz="4" w:space="0" w:color="auto"/>
            </w:tcBorders>
          </w:tcPr>
          <w:p w14:paraId="5060B011" w14:textId="77777777" w:rsidR="000D40C5" w:rsidRPr="00E06F8B" w:rsidRDefault="000D40C5" w:rsidP="000D40C5">
            <w:pPr>
              <w:rPr>
                <w:sz w:val="20"/>
                <w:szCs w:val="20"/>
              </w:rPr>
            </w:pPr>
          </w:p>
        </w:tc>
        <w:tc>
          <w:tcPr>
            <w:tcW w:w="611" w:type="dxa"/>
            <w:tcBorders>
              <w:bottom w:val="single" w:sz="4" w:space="0" w:color="auto"/>
            </w:tcBorders>
          </w:tcPr>
          <w:p w14:paraId="284F6B12" w14:textId="77777777" w:rsidR="000D40C5" w:rsidRPr="00E06F8B" w:rsidRDefault="000D40C5" w:rsidP="000D40C5">
            <w:pPr>
              <w:jc w:val="center"/>
              <w:rPr>
                <w:i/>
                <w:sz w:val="20"/>
                <w:szCs w:val="20"/>
              </w:rPr>
            </w:pPr>
            <w:r w:rsidRPr="00E06F8B">
              <w:rPr>
                <w:i/>
                <w:sz w:val="20"/>
                <w:szCs w:val="20"/>
              </w:rPr>
              <w:t>M</w:t>
            </w:r>
          </w:p>
        </w:tc>
        <w:tc>
          <w:tcPr>
            <w:tcW w:w="863" w:type="dxa"/>
            <w:tcBorders>
              <w:bottom w:val="single" w:sz="4" w:space="0" w:color="auto"/>
            </w:tcBorders>
          </w:tcPr>
          <w:p w14:paraId="09CB64CA" w14:textId="77777777" w:rsidR="000D40C5" w:rsidRPr="00E06F8B" w:rsidRDefault="000D40C5" w:rsidP="000D40C5">
            <w:pPr>
              <w:jc w:val="center"/>
              <w:rPr>
                <w:i/>
                <w:sz w:val="20"/>
                <w:szCs w:val="20"/>
              </w:rPr>
            </w:pPr>
            <w:r w:rsidRPr="00E06F8B">
              <w:rPr>
                <w:i/>
                <w:sz w:val="20"/>
                <w:szCs w:val="20"/>
              </w:rPr>
              <w:t>SD</w:t>
            </w:r>
          </w:p>
        </w:tc>
        <w:tc>
          <w:tcPr>
            <w:tcW w:w="863" w:type="dxa"/>
            <w:tcBorders>
              <w:bottom w:val="single" w:sz="4" w:space="0" w:color="auto"/>
            </w:tcBorders>
          </w:tcPr>
          <w:p w14:paraId="5AE6454A" w14:textId="77777777" w:rsidR="000D40C5" w:rsidRPr="00E06F8B" w:rsidRDefault="000D40C5" w:rsidP="000D40C5">
            <w:pPr>
              <w:jc w:val="center"/>
              <w:rPr>
                <w:i/>
                <w:sz w:val="20"/>
                <w:szCs w:val="20"/>
              </w:rPr>
            </w:pPr>
            <w:r w:rsidRPr="00E06F8B">
              <w:rPr>
                <w:i/>
                <w:sz w:val="20"/>
                <w:szCs w:val="20"/>
              </w:rPr>
              <w:t>M</w:t>
            </w:r>
          </w:p>
        </w:tc>
        <w:tc>
          <w:tcPr>
            <w:tcW w:w="1018" w:type="dxa"/>
            <w:tcBorders>
              <w:bottom w:val="single" w:sz="4" w:space="0" w:color="auto"/>
            </w:tcBorders>
          </w:tcPr>
          <w:p w14:paraId="4EFD12A8" w14:textId="77777777" w:rsidR="000D40C5" w:rsidRPr="00E06F8B" w:rsidRDefault="000D40C5" w:rsidP="000D40C5">
            <w:pPr>
              <w:jc w:val="center"/>
              <w:rPr>
                <w:i/>
                <w:sz w:val="20"/>
                <w:szCs w:val="20"/>
              </w:rPr>
            </w:pPr>
            <w:r w:rsidRPr="00E06F8B">
              <w:rPr>
                <w:i/>
                <w:sz w:val="20"/>
                <w:szCs w:val="20"/>
              </w:rPr>
              <w:t>SD</w:t>
            </w:r>
          </w:p>
        </w:tc>
        <w:tc>
          <w:tcPr>
            <w:tcW w:w="1082" w:type="dxa"/>
            <w:vMerge/>
            <w:tcBorders>
              <w:bottom w:val="single" w:sz="4" w:space="0" w:color="auto"/>
            </w:tcBorders>
            <w:tcMar>
              <w:left w:w="0" w:type="dxa"/>
              <w:right w:w="0" w:type="dxa"/>
            </w:tcMar>
          </w:tcPr>
          <w:p w14:paraId="5DC18AA6" w14:textId="77777777" w:rsidR="000D40C5" w:rsidRPr="00E06F8B" w:rsidRDefault="000D40C5" w:rsidP="000D40C5">
            <w:pPr>
              <w:jc w:val="center"/>
              <w:rPr>
                <w:sz w:val="20"/>
                <w:szCs w:val="20"/>
              </w:rPr>
            </w:pPr>
          </w:p>
        </w:tc>
      </w:tr>
      <w:tr w:rsidR="000D40C5" w:rsidRPr="00E06F8B" w14:paraId="2F714731" w14:textId="77777777">
        <w:tc>
          <w:tcPr>
            <w:tcW w:w="2334" w:type="dxa"/>
            <w:tcBorders>
              <w:top w:val="single" w:sz="4" w:space="0" w:color="auto"/>
            </w:tcBorders>
          </w:tcPr>
          <w:p w14:paraId="0B509A0B" w14:textId="77777777" w:rsidR="000D40C5" w:rsidRPr="00D67EE6" w:rsidRDefault="000D40C5" w:rsidP="0060620F">
            <w:pPr>
              <w:spacing w:after="100"/>
              <w:jc w:val="left"/>
              <w:rPr>
                <w:sz w:val="20"/>
                <w:szCs w:val="20"/>
              </w:rPr>
            </w:pPr>
            <w:r w:rsidRPr="00D67EE6">
              <w:rPr>
                <w:sz w:val="20"/>
                <w:szCs w:val="20"/>
              </w:rPr>
              <w:t>Teaching</w:t>
            </w:r>
            <w:r w:rsidR="000E4CF5" w:rsidRPr="00D67EE6">
              <w:rPr>
                <w:sz w:val="20"/>
                <w:szCs w:val="20"/>
              </w:rPr>
              <w:t xml:space="preserve"> </w:t>
            </w:r>
            <w:r w:rsidRPr="00D67EE6">
              <w:rPr>
                <w:sz w:val="20"/>
                <w:szCs w:val="20"/>
              </w:rPr>
              <w:t>as</w:t>
            </w:r>
            <w:r w:rsidR="000E4CF5" w:rsidRPr="00D67EE6">
              <w:rPr>
                <w:sz w:val="20"/>
                <w:szCs w:val="20"/>
              </w:rPr>
              <w:t xml:space="preserve"> </w:t>
            </w:r>
            <w:r w:rsidRPr="00D67EE6">
              <w:rPr>
                <w:sz w:val="20"/>
                <w:szCs w:val="20"/>
              </w:rPr>
              <w:t>broadcasting</w:t>
            </w:r>
            <w:r w:rsidR="000E4CF5" w:rsidRPr="00D67EE6">
              <w:rPr>
                <w:sz w:val="20"/>
                <w:szCs w:val="20"/>
              </w:rPr>
              <w:t xml:space="preserve"> </w:t>
            </w:r>
          </w:p>
        </w:tc>
        <w:tc>
          <w:tcPr>
            <w:tcW w:w="611" w:type="dxa"/>
            <w:tcBorders>
              <w:top w:val="single" w:sz="4" w:space="0" w:color="auto"/>
            </w:tcBorders>
          </w:tcPr>
          <w:p w14:paraId="2E324721" w14:textId="77777777" w:rsidR="000D40C5" w:rsidRPr="00E06F8B" w:rsidRDefault="000D40C5" w:rsidP="00D41AA4">
            <w:pPr>
              <w:jc w:val="center"/>
              <w:rPr>
                <w:sz w:val="20"/>
                <w:szCs w:val="20"/>
              </w:rPr>
            </w:pPr>
            <w:r w:rsidRPr="00E06F8B">
              <w:rPr>
                <w:sz w:val="20"/>
                <w:szCs w:val="20"/>
              </w:rPr>
              <w:t>3.55</w:t>
            </w:r>
          </w:p>
        </w:tc>
        <w:tc>
          <w:tcPr>
            <w:tcW w:w="863" w:type="dxa"/>
            <w:tcBorders>
              <w:top w:val="single" w:sz="4" w:space="0" w:color="auto"/>
            </w:tcBorders>
          </w:tcPr>
          <w:p w14:paraId="59DF7A21" w14:textId="77777777" w:rsidR="000D40C5" w:rsidRPr="00E06F8B" w:rsidRDefault="000D40C5" w:rsidP="00D41AA4">
            <w:pPr>
              <w:jc w:val="center"/>
              <w:rPr>
                <w:sz w:val="20"/>
                <w:szCs w:val="20"/>
              </w:rPr>
            </w:pPr>
            <w:r w:rsidRPr="00E06F8B">
              <w:rPr>
                <w:sz w:val="20"/>
                <w:szCs w:val="20"/>
              </w:rPr>
              <w:t>1.00</w:t>
            </w:r>
          </w:p>
        </w:tc>
        <w:tc>
          <w:tcPr>
            <w:tcW w:w="863" w:type="dxa"/>
            <w:tcBorders>
              <w:top w:val="single" w:sz="4" w:space="0" w:color="auto"/>
            </w:tcBorders>
          </w:tcPr>
          <w:p w14:paraId="6D5D2638" w14:textId="77777777" w:rsidR="000D40C5" w:rsidRPr="00E06F8B" w:rsidRDefault="000D40C5" w:rsidP="00D41AA4">
            <w:pPr>
              <w:jc w:val="center"/>
              <w:rPr>
                <w:sz w:val="20"/>
                <w:szCs w:val="20"/>
              </w:rPr>
            </w:pPr>
            <w:r w:rsidRPr="00E06F8B">
              <w:rPr>
                <w:sz w:val="20"/>
                <w:szCs w:val="20"/>
              </w:rPr>
              <w:t>3.67</w:t>
            </w:r>
          </w:p>
        </w:tc>
        <w:tc>
          <w:tcPr>
            <w:tcW w:w="1018" w:type="dxa"/>
            <w:tcBorders>
              <w:top w:val="single" w:sz="4" w:space="0" w:color="auto"/>
            </w:tcBorders>
          </w:tcPr>
          <w:p w14:paraId="29901134" w14:textId="77777777" w:rsidR="000D40C5" w:rsidRPr="00E06F8B" w:rsidRDefault="000D40C5" w:rsidP="00D41AA4">
            <w:pPr>
              <w:jc w:val="center"/>
              <w:rPr>
                <w:sz w:val="20"/>
                <w:szCs w:val="20"/>
              </w:rPr>
            </w:pPr>
            <w:r w:rsidRPr="00E06F8B">
              <w:rPr>
                <w:sz w:val="20"/>
                <w:szCs w:val="20"/>
              </w:rPr>
              <w:t>.66</w:t>
            </w:r>
          </w:p>
        </w:tc>
        <w:tc>
          <w:tcPr>
            <w:tcW w:w="1082" w:type="dxa"/>
            <w:tcBorders>
              <w:top w:val="single" w:sz="4" w:space="0" w:color="auto"/>
            </w:tcBorders>
            <w:tcMar>
              <w:left w:w="0" w:type="dxa"/>
              <w:right w:w="0" w:type="dxa"/>
            </w:tcMar>
          </w:tcPr>
          <w:p w14:paraId="16F0D03C" w14:textId="77777777" w:rsidR="000D40C5" w:rsidRPr="00E06F8B" w:rsidRDefault="000D40C5" w:rsidP="00D41AA4">
            <w:pPr>
              <w:ind w:left="170"/>
              <w:jc w:val="center"/>
              <w:rPr>
                <w:sz w:val="20"/>
                <w:szCs w:val="20"/>
              </w:rPr>
            </w:pPr>
            <w:r w:rsidRPr="00E06F8B">
              <w:rPr>
                <w:sz w:val="20"/>
                <w:szCs w:val="20"/>
              </w:rPr>
              <w:t>1.70</w:t>
            </w:r>
          </w:p>
        </w:tc>
      </w:tr>
      <w:tr w:rsidR="000D40C5" w:rsidRPr="00E06F8B" w14:paraId="34357F13" w14:textId="77777777">
        <w:tc>
          <w:tcPr>
            <w:tcW w:w="2334" w:type="dxa"/>
          </w:tcPr>
          <w:p w14:paraId="27C501E3" w14:textId="77777777" w:rsidR="000D40C5" w:rsidRPr="00D67EE6" w:rsidRDefault="000D40C5" w:rsidP="0060620F">
            <w:pPr>
              <w:spacing w:after="100"/>
              <w:jc w:val="left"/>
              <w:rPr>
                <w:sz w:val="20"/>
                <w:szCs w:val="20"/>
              </w:rPr>
            </w:pPr>
            <w:r w:rsidRPr="00D67EE6">
              <w:rPr>
                <w:sz w:val="20"/>
                <w:szCs w:val="20"/>
              </w:rPr>
              <w:t>Teaching</w:t>
            </w:r>
            <w:r w:rsidR="000E4CF5" w:rsidRPr="00D67EE6">
              <w:rPr>
                <w:sz w:val="20"/>
                <w:szCs w:val="20"/>
              </w:rPr>
              <w:t xml:space="preserve"> </w:t>
            </w:r>
            <w:r w:rsidRPr="00D67EE6">
              <w:rPr>
                <w:sz w:val="20"/>
                <w:szCs w:val="20"/>
              </w:rPr>
              <w:t>as</w:t>
            </w:r>
            <w:r w:rsidR="000E4CF5" w:rsidRPr="00D67EE6">
              <w:rPr>
                <w:sz w:val="20"/>
                <w:szCs w:val="20"/>
              </w:rPr>
              <w:t xml:space="preserve"> </w:t>
            </w:r>
            <w:r w:rsidRPr="00D67EE6">
              <w:rPr>
                <w:sz w:val="20"/>
                <w:szCs w:val="20"/>
              </w:rPr>
              <w:t>learning</w:t>
            </w:r>
            <w:r w:rsidR="000E4CF5" w:rsidRPr="00D67EE6">
              <w:rPr>
                <w:sz w:val="20"/>
                <w:szCs w:val="20"/>
              </w:rPr>
              <w:t xml:space="preserve"> </w:t>
            </w:r>
            <w:r w:rsidRPr="00D67EE6">
              <w:rPr>
                <w:sz w:val="20"/>
                <w:szCs w:val="20"/>
              </w:rPr>
              <w:t>su</w:t>
            </w:r>
            <w:r w:rsidRPr="00D67EE6">
              <w:rPr>
                <w:sz w:val="20"/>
                <w:szCs w:val="20"/>
              </w:rPr>
              <w:t>p</w:t>
            </w:r>
            <w:r w:rsidRPr="00D67EE6">
              <w:rPr>
                <w:sz w:val="20"/>
                <w:szCs w:val="20"/>
              </w:rPr>
              <w:t>port</w:t>
            </w:r>
            <w:r w:rsidR="000E4CF5" w:rsidRPr="00D67EE6">
              <w:rPr>
                <w:sz w:val="20"/>
                <w:szCs w:val="20"/>
              </w:rPr>
              <w:t xml:space="preserve"> </w:t>
            </w:r>
          </w:p>
        </w:tc>
        <w:tc>
          <w:tcPr>
            <w:tcW w:w="611" w:type="dxa"/>
          </w:tcPr>
          <w:p w14:paraId="4BE62832" w14:textId="77777777" w:rsidR="000D40C5" w:rsidRPr="00E06F8B" w:rsidRDefault="000D40C5" w:rsidP="00D41AA4">
            <w:pPr>
              <w:jc w:val="center"/>
              <w:rPr>
                <w:sz w:val="20"/>
                <w:szCs w:val="20"/>
              </w:rPr>
            </w:pPr>
            <w:r w:rsidRPr="00E06F8B">
              <w:rPr>
                <w:sz w:val="20"/>
                <w:szCs w:val="20"/>
              </w:rPr>
              <w:t>4.33</w:t>
            </w:r>
          </w:p>
        </w:tc>
        <w:tc>
          <w:tcPr>
            <w:tcW w:w="863" w:type="dxa"/>
          </w:tcPr>
          <w:p w14:paraId="57A0F1FC" w14:textId="77777777" w:rsidR="000D40C5" w:rsidRPr="00E06F8B" w:rsidRDefault="000D40C5" w:rsidP="00D41AA4">
            <w:pPr>
              <w:jc w:val="center"/>
              <w:rPr>
                <w:sz w:val="20"/>
                <w:szCs w:val="20"/>
              </w:rPr>
            </w:pPr>
            <w:r w:rsidRPr="00E06F8B">
              <w:rPr>
                <w:sz w:val="20"/>
                <w:szCs w:val="20"/>
              </w:rPr>
              <w:t>.78</w:t>
            </w:r>
          </w:p>
        </w:tc>
        <w:tc>
          <w:tcPr>
            <w:tcW w:w="863" w:type="dxa"/>
          </w:tcPr>
          <w:p w14:paraId="547038FF" w14:textId="77777777" w:rsidR="000D40C5" w:rsidRPr="00E06F8B" w:rsidRDefault="000D40C5" w:rsidP="00D41AA4">
            <w:pPr>
              <w:jc w:val="center"/>
              <w:rPr>
                <w:sz w:val="20"/>
                <w:szCs w:val="20"/>
              </w:rPr>
            </w:pPr>
            <w:r w:rsidRPr="00E06F8B">
              <w:rPr>
                <w:sz w:val="20"/>
                <w:szCs w:val="20"/>
              </w:rPr>
              <w:t>4.19</w:t>
            </w:r>
          </w:p>
        </w:tc>
        <w:tc>
          <w:tcPr>
            <w:tcW w:w="1018" w:type="dxa"/>
          </w:tcPr>
          <w:p w14:paraId="7047706A" w14:textId="77777777" w:rsidR="000D40C5" w:rsidRPr="00E06F8B" w:rsidRDefault="000D40C5" w:rsidP="00D41AA4">
            <w:pPr>
              <w:jc w:val="center"/>
              <w:rPr>
                <w:sz w:val="20"/>
                <w:szCs w:val="20"/>
              </w:rPr>
            </w:pPr>
            <w:r w:rsidRPr="00E06F8B">
              <w:rPr>
                <w:sz w:val="20"/>
                <w:szCs w:val="20"/>
              </w:rPr>
              <w:t>.52</w:t>
            </w:r>
          </w:p>
        </w:tc>
        <w:tc>
          <w:tcPr>
            <w:tcW w:w="1082" w:type="dxa"/>
            <w:tcMar>
              <w:left w:w="0" w:type="dxa"/>
              <w:right w:w="0" w:type="dxa"/>
            </w:tcMar>
          </w:tcPr>
          <w:p w14:paraId="7FB09448" w14:textId="77777777" w:rsidR="000D40C5" w:rsidRPr="00E06F8B" w:rsidRDefault="000D40C5" w:rsidP="00D41AA4">
            <w:pPr>
              <w:ind w:left="170"/>
              <w:jc w:val="center"/>
              <w:rPr>
                <w:sz w:val="20"/>
                <w:szCs w:val="20"/>
              </w:rPr>
            </w:pPr>
            <w:r w:rsidRPr="00E06F8B">
              <w:rPr>
                <w:sz w:val="20"/>
                <w:szCs w:val="20"/>
              </w:rPr>
              <w:t>3.34</w:t>
            </w:r>
          </w:p>
        </w:tc>
      </w:tr>
      <w:tr w:rsidR="000D40C5" w:rsidRPr="00E06F8B" w14:paraId="5D12B10C" w14:textId="77777777">
        <w:tc>
          <w:tcPr>
            <w:tcW w:w="2334" w:type="dxa"/>
          </w:tcPr>
          <w:p w14:paraId="0358CB8E" w14:textId="77777777" w:rsidR="000D40C5" w:rsidRPr="00D67EE6" w:rsidRDefault="000D40C5" w:rsidP="0060620F">
            <w:pPr>
              <w:spacing w:after="100"/>
              <w:jc w:val="left"/>
              <w:rPr>
                <w:sz w:val="20"/>
                <w:szCs w:val="20"/>
              </w:rPr>
            </w:pPr>
            <w:r w:rsidRPr="00D67EE6">
              <w:rPr>
                <w:sz w:val="20"/>
                <w:szCs w:val="20"/>
              </w:rPr>
              <w:t>Learning</w:t>
            </w:r>
            <w:r w:rsidR="000E4CF5" w:rsidRPr="00D67EE6">
              <w:rPr>
                <w:sz w:val="20"/>
                <w:szCs w:val="20"/>
              </w:rPr>
              <w:t xml:space="preserve"> </w:t>
            </w:r>
            <w:r w:rsidRPr="00D67EE6">
              <w:rPr>
                <w:sz w:val="20"/>
                <w:szCs w:val="20"/>
              </w:rPr>
              <w:t>driven</w:t>
            </w:r>
            <w:r w:rsidR="000E4CF5" w:rsidRPr="00D67EE6">
              <w:rPr>
                <w:sz w:val="20"/>
                <w:szCs w:val="20"/>
              </w:rPr>
              <w:t xml:space="preserve"> </w:t>
            </w:r>
            <w:r w:rsidRPr="00D67EE6">
              <w:rPr>
                <w:sz w:val="20"/>
                <w:szCs w:val="20"/>
              </w:rPr>
              <w:t>by</w:t>
            </w:r>
            <w:r w:rsidR="000E4CF5" w:rsidRPr="00D67EE6">
              <w:rPr>
                <w:sz w:val="20"/>
                <w:szCs w:val="20"/>
              </w:rPr>
              <w:t xml:space="preserve"> </w:t>
            </w:r>
            <w:r w:rsidRPr="00D67EE6">
              <w:rPr>
                <w:sz w:val="20"/>
                <w:szCs w:val="20"/>
              </w:rPr>
              <w:t>ability</w:t>
            </w:r>
          </w:p>
        </w:tc>
        <w:tc>
          <w:tcPr>
            <w:tcW w:w="611" w:type="dxa"/>
          </w:tcPr>
          <w:p w14:paraId="0085BD4A" w14:textId="77777777" w:rsidR="000D40C5" w:rsidRPr="00E06F8B" w:rsidRDefault="000D40C5" w:rsidP="00D41AA4">
            <w:pPr>
              <w:jc w:val="center"/>
              <w:rPr>
                <w:sz w:val="20"/>
                <w:szCs w:val="20"/>
              </w:rPr>
            </w:pPr>
            <w:r w:rsidRPr="00E06F8B">
              <w:rPr>
                <w:sz w:val="20"/>
                <w:szCs w:val="20"/>
              </w:rPr>
              <w:t>3.18</w:t>
            </w:r>
          </w:p>
        </w:tc>
        <w:tc>
          <w:tcPr>
            <w:tcW w:w="863" w:type="dxa"/>
          </w:tcPr>
          <w:p w14:paraId="25BB63ED" w14:textId="77777777" w:rsidR="000D40C5" w:rsidRPr="00E06F8B" w:rsidRDefault="000D40C5" w:rsidP="00D41AA4">
            <w:pPr>
              <w:jc w:val="center"/>
              <w:rPr>
                <w:sz w:val="20"/>
                <w:szCs w:val="20"/>
              </w:rPr>
            </w:pPr>
            <w:r w:rsidRPr="00E06F8B">
              <w:rPr>
                <w:sz w:val="20"/>
                <w:szCs w:val="20"/>
              </w:rPr>
              <w:t>.60</w:t>
            </w:r>
          </w:p>
        </w:tc>
        <w:tc>
          <w:tcPr>
            <w:tcW w:w="863" w:type="dxa"/>
          </w:tcPr>
          <w:p w14:paraId="20F53CBD" w14:textId="77777777" w:rsidR="000D40C5" w:rsidRPr="00E06F8B" w:rsidRDefault="000D40C5" w:rsidP="00D41AA4">
            <w:pPr>
              <w:jc w:val="center"/>
              <w:rPr>
                <w:sz w:val="20"/>
                <w:szCs w:val="20"/>
              </w:rPr>
            </w:pPr>
            <w:r w:rsidRPr="00E06F8B">
              <w:rPr>
                <w:sz w:val="20"/>
                <w:szCs w:val="20"/>
              </w:rPr>
              <w:t>3.38</w:t>
            </w:r>
          </w:p>
        </w:tc>
        <w:tc>
          <w:tcPr>
            <w:tcW w:w="1018" w:type="dxa"/>
          </w:tcPr>
          <w:p w14:paraId="7B27E221" w14:textId="77777777" w:rsidR="000D40C5" w:rsidRPr="00E06F8B" w:rsidRDefault="000D40C5" w:rsidP="00D41AA4">
            <w:pPr>
              <w:jc w:val="center"/>
              <w:rPr>
                <w:sz w:val="20"/>
                <w:szCs w:val="20"/>
              </w:rPr>
            </w:pPr>
            <w:r w:rsidRPr="00E06F8B">
              <w:rPr>
                <w:sz w:val="20"/>
                <w:szCs w:val="20"/>
              </w:rPr>
              <w:t>.56</w:t>
            </w:r>
          </w:p>
        </w:tc>
        <w:tc>
          <w:tcPr>
            <w:tcW w:w="1082" w:type="dxa"/>
            <w:tcMar>
              <w:left w:w="0" w:type="dxa"/>
              <w:right w:w="0" w:type="dxa"/>
            </w:tcMar>
          </w:tcPr>
          <w:p w14:paraId="441B0EC7" w14:textId="77777777" w:rsidR="000D40C5" w:rsidRPr="00E06F8B" w:rsidRDefault="000D40C5" w:rsidP="00D41AA4">
            <w:pPr>
              <w:ind w:left="170"/>
              <w:jc w:val="center"/>
              <w:rPr>
                <w:sz w:val="20"/>
                <w:szCs w:val="20"/>
              </w:rPr>
            </w:pPr>
            <w:r w:rsidRPr="00E06F8B">
              <w:rPr>
                <w:sz w:val="20"/>
                <w:szCs w:val="20"/>
              </w:rPr>
              <w:t>8.52**</w:t>
            </w:r>
          </w:p>
        </w:tc>
      </w:tr>
      <w:tr w:rsidR="000D40C5" w:rsidRPr="00E06F8B" w14:paraId="5DB2FF9E" w14:textId="77777777">
        <w:tc>
          <w:tcPr>
            <w:tcW w:w="2334" w:type="dxa"/>
          </w:tcPr>
          <w:p w14:paraId="311F0183" w14:textId="77777777" w:rsidR="000D40C5" w:rsidRPr="00D67EE6" w:rsidRDefault="000D40C5" w:rsidP="0060620F">
            <w:pPr>
              <w:spacing w:after="100"/>
              <w:jc w:val="left"/>
              <w:rPr>
                <w:sz w:val="20"/>
                <w:szCs w:val="20"/>
              </w:rPr>
            </w:pPr>
            <w:r w:rsidRPr="00D67EE6">
              <w:rPr>
                <w:sz w:val="20"/>
                <w:szCs w:val="20"/>
              </w:rPr>
              <w:t>Learning</w:t>
            </w:r>
            <w:r w:rsidR="000E4CF5" w:rsidRPr="00D67EE6">
              <w:rPr>
                <w:sz w:val="20"/>
                <w:szCs w:val="20"/>
              </w:rPr>
              <w:t xml:space="preserve"> </w:t>
            </w:r>
            <w:r w:rsidRPr="00D67EE6">
              <w:rPr>
                <w:sz w:val="20"/>
                <w:szCs w:val="20"/>
              </w:rPr>
              <w:t>driven</w:t>
            </w:r>
            <w:r w:rsidR="000E4CF5" w:rsidRPr="00D67EE6">
              <w:rPr>
                <w:sz w:val="20"/>
                <w:szCs w:val="20"/>
              </w:rPr>
              <w:t xml:space="preserve"> </w:t>
            </w:r>
            <w:r w:rsidRPr="00D67EE6">
              <w:rPr>
                <w:sz w:val="20"/>
                <w:szCs w:val="20"/>
              </w:rPr>
              <w:t>by</w:t>
            </w:r>
            <w:r w:rsidR="000E4CF5" w:rsidRPr="00D67EE6">
              <w:rPr>
                <w:sz w:val="20"/>
                <w:szCs w:val="20"/>
              </w:rPr>
              <w:t xml:space="preserve"> </w:t>
            </w:r>
            <w:r w:rsidRPr="00D67EE6">
              <w:rPr>
                <w:sz w:val="20"/>
                <w:szCs w:val="20"/>
              </w:rPr>
              <w:t>effort</w:t>
            </w:r>
            <w:r w:rsidR="000E4CF5" w:rsidRPr="00D67EE6">
              <w:rPr>
                <w:sz w:val="20"/>
                <w:szCs w:val="20"/>
              </w:rPr>
              <w:t xml:space="preserve"> </w:t>
            </w:r>
          </w:p>
        </w:tc>
        <w:tc>
          <w:tcPr>
            <w:tcW w:w="611" w:type="dxa"/>
          </w:tcPr>
          <w:p w14:paraId="0D89C480" w14:textId="77777777" w:rsidR="000D40C5" w:rsidRPr="00E06F8B" w:rsidRDefault="000D40C5" w:rsidP="00D41AA4">
            <w:pPr>
              <w:jc w:val="center"/>
              <w:rPr>
                <w:sz w:val="20"/>
                <w:szCs w:val="20"/>
              </w:rPr>
            </w:pPr>
            <w:r w:rsidRPr="00E06F8B">
              <w:rPr>
                <w:sz w:val="20"/>
                <w:szCs w:val="20"/>
              </w:rPr>
              <w:t>3.63</w:t>
            </w:r>
          </w:p>
        </w:tc>
        <w:tc>
          <w:tcPr>
            <w:tcW w:w="863" w:type="dxa"/>
          </w:tcPr>
          <w:p w14:paraId="79442808" w14:textId="77777777" w:rsidR="000D40C5" w:rsidRPr="00E06F8B" w:rsidRDefault="000D40C5" w:rsidP="00D41AA4">
            <w:pPr>
              <w:jc w:val="center"/>
              <w:rPr>
                <w:sz w:val="20"/>
                <w:szCs w:val="20"/>
              </w:rPr>
            </w:pPr>
            <w:r w:rsidRPr="00E06F8B">
              <w:rPr>
                <w:sz w:val="20"/>
                <w:szCs w:val="20"/>
              </w:rPr>
              <w:t>.61</w:t>
            </w:r>
          </w:p>
        </w:tc>
        <w:tc>
          <w:tcPr>
            <w:tcW w:w="863" w:type="dxa"/>
          </w:tcPr>
          <w:p w14:paraId="46C0AA53" w14:textId="77777777" w:rsidR="000D40C5" w:rsidRPr="00E06F8B" w:rsidRDefault="000D40C5" w:rsidP="00D41AA4">
            <w:pPr>
              <w:jc w:val="center"/>
              <w:rPr>
                <w:sz w:val="20"/>
                <w:szCs w:val="20"/>
              </w:rPr>
            </w:pPr>
            <w:r w:rsidRPr="00E06F8B">
              <w:rPr>
                <w:sz w:val="20"/>
                <w:szCs w:val="20"/>
              </w:rPr>
              <w:t>3.63</w:t>
            </w:r>
          </w:p>
        </w:tc>
        <w:tc>
          <w:tcPr>
            <w:tcW w:w="1018" w:type="dxa"/>
          </w:tcPr>
          <w:p w14:paraId="68530FE3" w14:textId="77777777" w:rsidR="000D40C5" w:rsidRPr="00E06F8B" w:rsidRDefault="000D40C5" w:rsidP="00D41AA4">
            <w:pPr>
              <w:jc w:val="center"/>
              <w:rPr>
                <w:sz w:val="20"/>
                <w:szCs w:val="20"/>
              </w:rPr>
            </w:pPr>
            <w:r w:rsidRPr="00E06F8B">
              <w:rPr>
                <w:sz w:val="20"/>
                <w:szCs w:val="20"/>
              </w:rPr>
              <w:t>.54</w:t>
            </w:r>
          </w:p>
        </w:tc>
        <w:tc>
          <w:tcPr>
            <w:tcW w:w="1082" w:type="dxa"/>
            <w:tcMar>
              <w:left w:w="0" w:type="dxa"/>
              <w:right w:w="0" w:type="dxa"/>
            </w:tcMar>
          </w:tcPr>
          <w:p w14:paraId="55955A38" w14:textId="77777777" w:rsidR="000D40C5" w:rsidRPr="00E06F8B" w:rsidRDefault="000D40C5" w:rsidP="00D41AA4">
            <w:pPr>
              <w:ind w:left="170"/>
              <w:jc w:val="center"/>
              <w:rPr>
                <w:sz w:val="20"/>
                <w:szCs w:val="20"/>
              </w:rPr>
            </w:pPr>
            <w:r w:rsidRPr="00E06F8B">
              <w:rPr>
                <w:sz w:val="20"/>
                <w:szCs w:val="20"/>
              </w:rPr>
              <w:t>0.12</w:t>
            </w:r>
          </w:p>
        </w:tc>
      </w:tr>
      <w:tr w:rsidR="000D40C5" w:rsidRPr="00E06F8B" w14:paraId="46D9887F" w14:textId="77777777">
        <w:tc>
          <w:tcPr>
            <w:tcW w:w="2334" w:type="dxa"/>
            <w:tcBorders>
              <w:bottom w:val="single" w:sz="4" w:space="0" w:color="auto"/>
            </w:tcBorders>
          </w:tcPr>
          <w:p w14:paraId="3705321B" w14:textId="77777777" w:rsidR="000D40C5" w:rsidRPr="00D67EE6" w:rsidRDefault="000D40C5" w:rsidP="0060620F">
            <w:pPr>
              <w:spacing w:after="100"/>
              <w:jc w:val="left"/>
              <w:rPr>
                <w:sz w:val="20"/>
                <w:szCs w:val="20"/>
              </w:rPr>
            </w:pPr>
            <w:r w:rsidRPr="00D67EE6">
              <w:rPr>
                <w:sz w:val="20"/>
                <w:szCs w:val="20"/>
              </w:rPr>
              <w:t>Superstitious</w:t>
            </w:r>
            <w:r w:rsidR="000E4CF5" w:rsidRPr="00D67EE6">
              <w:rPr>
                <w:sz w:val="20"/>
                <w:szCs w:val="20"/>
              </w:rPr>
              <w:t xml:space="preserve"> </w:t>
            </w:r>
            <w:r w:rsidRPr="00D67EE6">
              <w:rPr>
                <w:sz w:val="20"/>
                <w:szCs w:val="20"/>
              </w:rPr>
              <w:t>beliefs</w:t>
            </w:r>
          </w:p>
        </w:tc>
        <w:tc>
          <w:tcPr>
            <w:tcW w:w="611" w:type="dxa"/>
            <w:tcBorders>
              <w:bottom w:val="single" w:sz="4" w:space="0" w:color="auto"/>
            </w:tcBorders>
          </w:tcPr>
          <w:p w14:paraId="5D600A40" w14:textId="77777777" w:rsidR="000D40C5" w:rsidRPr="00E06F8B" w:rsidRDefault="000D40C5" w:rsidP="00D41AA4">
            <w:pPr>
              <w:jc w:val="center"/>
              <w:rPr>
                <w:sz w:val="20"/>
                <w:szCs w:val="20"/>
              </w:rPr>
            </w:pPr>
            <w:r w:rsidRPr="00E06F8B">
              <w:rPr>
                <w:sz w:val="20"/>
                <w:szCs w:val="20"/>
              </w:rPr>
              <w:t>1.70</w:t>
            </w:r>
          </w:p>
        </w:tc>
        <w:tc>
          <w:tcPr>
            <w:tcW w:w="863" w:type="dxa"/>
            <w:tcBorders>
              <w:bottom w:val="single" w:sz="4" w:space="0" w:color="auto"/>
            </w:tcBorders>
          </w:tcPr>
          <w:p w14:paraId="48762E4A" w14:textId="77777777" w:rsidR="000D40C5" w:rsidRPr="00E06F8B" w:rsidRDefault="000D40C5" w:rsidP="00D41AA4">
            <w:pPr>
              <w:jc w:val="center"/>
              <w:rPr>
                <w:sz w:val="20"/>
                <w:szCs w:val="20"/>
              </w:rPr>
            </w:pPr>
            <w:r w:rsidRPr="00E06F8B">
              <w:rPr>
                <w:sz w:val="20"/>
                <w:szCs w:val="20"/>
              </w:rPr>
              <w:t>.66</w:t>
            </w:r>
          </w:p>
        </w:tc>
        <w:tc>
          <w:tcPr>
            <w:tcW w:w="863" w:type="dxa"/>
            <w:tcBorders>
              <w:bottom w:val="single" w:sz="4" w:space="0" w:color="auto"/>
            </w:tcBorders>
          </w:tcPr>
          <w:p w14:paraId="78DA9C14" w14:textId="77777777" w:rsidR="000D40C5" w:rsidRPr="00E06F8B" w:rsidRDefault="000D40C5" w:rsidP="00D41AA4">
            <w:pPr>
              <w:jc w:val="center"/>
              <w:rPr>
                <w:sz w:val="20"/>
                <w:szCs w:val="20"/>
              </w:rPr>
            </w:pPr>
            <w:r w:rsidRPr="00E06F8B">
              <w:rPr>
                <w:sz w:val="20"/>
                <w:szCs w:val="20"/>
              </w:rPr>
              <w:t>2.30</w:t>
            </w:r>
          </w:p>
        </w:tc>
        <w:tc>
          <w:tcPr>
            <w:tcW w:w="1018" w:type="dxa"/>
            <w:tcBorders>
              <w:bottom w:val="single" w:sz="4" w:space="0" w:color="auto"/>
            </w:tcBorders>
          </w:tcPr>
          <w:p w14:paraId="75A2AB3D" w14:textId="77777777" w:rsidR="000D40C5" w:rsidRPr="00E06F8B" w:rsidRDefault="000D40C5" w:rsidP="00D41AA4">
            <w:pPr>
              <w:jc w:val="center"/>
              <w:rPr>
                <w:sz w:val="20"/>
                <w:szCs w:val="20"/>
              </w:rPr>
            </w:pPr>
            <w:r w:rsidRPr="00E06F8B">
              <w:rPr>
                <w:sz w:val="20"/>
                <w:szCs w:val="20"/>
              </w:rPr>
              <w:t>.95</w:t>
            </w:r>
          </w:p>
        </w:tc>
        <w:tc>
          <w:tcPr>
            <w:tcW w:w="1082" w:type="dxa"/>
            <w:tcBorders>
              <w:bottom w:val="single" w:sz="4" w:space="0" w:color="auto"/>
            </w:tcBorders>
            <w:tcMar>
              <w:left w:w="0" w:type="dxa"/>
              <w:right w:w="0" w:type="dxa"/>
            </w:tcMar>
          </w:tcPr>
          <w:p w14:paraId="7C904CA6" w14:textId="77777777" w:rsidR="000D40C5" w:rsidRPr="00E06F8B" w:rsidRDefault="000D40C5" w:rsidP="00D41AA4">
            <w:pPr>
              <w:ind w:left="170"/>
              <w:jc w:val="center"/>
              <w:rPr>
                <w:sz w:val="20"/>
                <w:szCs w:val="20"/>
              </w:rPr>
            </w:pPr>
            <w:r w:rsidRPr="00E06F8B">
              <w:rPr>
                <w:sz w:val="20"/>
                <w:szCs w:val="20"/>
              </w:rPr>
              <w:t>33.94***</w:t>
            </w:r>
          </w:p>
        </w:tc>
      </w:tr>
    </w:tbl>
    <w:p w14:paraId="22564449" w14:textId="77777777" w:rsidR="000D40C5" w:rsidRPr="00E06F8B" w:rsidRDefault="000D40C5" w:rsidP="000D40C5">
      <w:r w:rsidRPr="00E06F8B">
        <w:t>**</w:t>
      </w:r>
      <w:proofErr w:type="gramStart"/>
      <w:r w:rsidRPr="00E06F8B">
        <w:rPr>
          <w:i/>
        </w:rPr>
        <w:t>p</w:t>
      </w:r>
      <w:proofErr w:type="gramEnd"/>
      <w:r w:rsidR="000E4CF5">
        <w:t xml:space="preserve"> </w:t>
      </w:r>
      <w:r w:rsidR="00BA0C4A">
        <w:t>&lt; .</w:t>
      </w:r>
      <w:r w:rsidR="000E4CF5">
        <w:t xml:space="preserve"> </w:t>
      </w:r>
      <w:r w:rsidRPr="00E06F8B">
        <w:t>01,</w:t>
      </w:r>
      <w:r w:rsidR="000E4CF5">
        <w:t xml:space="preserve"> </w:t>
      </w:r>
      <w:r w:rsidRPr="00E06F8B">
        <w:t>***</w:t>
      </w:r>
      <w:r w:rsidRPr="00E06F8B">
        <w:rPr>
          <w:i/>
        </w:rPr>
        <w:t>p</w:t>
      </w:r>
      <w:r w:rsidR="000E4CF5">
        <w:t xml:space="preserve"> </w:t>
      </w:r>
      <w:r w:rsidRPr="00E06F8B">
        <w:t>&lt;</w:t>
      </w:r>
      <w:r w:rsidR="000E4CF5">
        <w:t xml:space="preserve"> </w:t>
      </w:r>
      <w:r w:rsidR="003C3691">
        <w:t>.0001</w:t>
      </w:r>
    </w:p>
    <w:p w14:paraId="62865752" w14:textId="77777777" w:rsidR="007D04A1" w:rsidRPr="00E06F8B" w:rsidRDefault="007D04A1" w:rsidP="00433228">
      <w:pPr>
        <w:pStyle w:val="Heading1"/>
      </w:pPr>
      <w:r w:rsidRPr="00E06F8B">
        <w:t>Discussion</w:t>
      </w:r>
    </w:p>
    <w:p w14:paraId="56D0C479" w14:textId="77777777" w:rsidR="007D04A1" w:rsidRPr="00E06F8B" w:rsidRDefault="007D04A1" w:rsidP="004A51F2">
      <w:r w:rsidRPr="00E06F8B">
        <w:t>The</w:t>
      </w:r>
      <w:r w:rsidR="000E4CF5">
        <w:t xml:space="preserve"> </w:t>
      </w:r>
      <w:r w:rsidRPr="00E06F8B">
        <w:t>study</w:t>
      </w:r>
      <w:r w:rsidR="000E4CF5">
        <w:t xml:space="preserve"> </w:t>
      </w:r>
      <w:r w:rsidRPr="00E06F8B">
        <w:t>was</w:t>
      </w:r>
      <w:r w:rsidR="000E4CF5">
        <w:t xml:space="preserve"> </w:t>
      </w:r>
      <w:r w:rsidRPr="00E06F8B">
        <w:t>conducted</w:t>
      </w:r>
      <w:r w:rsidR="000E4CF5">
        <w:t xml:space="preserve"> </w:t>
      </w:r>
      <w:r w:rsidRPr="00E06F8B">
        <w:t>to</w:t>
      </w:r>
      <w:r w:rsidR="000E4CF5">
        <w:t xml:space="preserve"> </w:t>
      </w:r>
      <w:r w:rsidRPr="00E06F8B">
        <w:t>test</w:t>
      </w:r>
      <w:r w:rsidR="000E4CF5">
        <w:t xml:space="preserve"> </w:t>
      </w:r>
      <w:r w:rsidRPr="00E06F8B">
        <w:t>the</w:t>
      </w:r>
      <w:r w:rsidR="000E4CF5">
        <w:t xml:space="preserve"> </w:t>
      </w:r>
      <w:r w:rsidRPr="00E06F8B">
        <w:t>possibility</w:t>
      </w:r>
      <w:r w:rsidR="000E4CF5">
        <w:t xml:space="preserve"> </w:t>
      </w:r>
      <w:r w:rsidRPr="00E06F8B">
        <w:t>that</w:t>
      </w:r>
      <w:r w:rsidR="000E4CF5">
        <w:t xml:space="preserve"> </w:t>
      </w:r>
      <w:r w:rsidRPr="00E06F8B">
        <w:t>science</w:t>
      </w:r>
      <w:r w:rsidR="000E4CF5">
        <w:t xml:space="preserve"> </w:t>
      </w:r>
      <w:r w:rsidRPr="00E06F8B">
        <w:t>course</w:t>
      </w:r>
      <w:r w:rsidR="000E4CF5">
        <w:t xml:space="preserve"> </w:t>
      </w:r>
      <w:r w:rsidRPr="00E06F8B">
        <w:t>work</w:t>
      </w:r>
      <w:r w:rsidR="000E4CF5">
        <w:t xml:space="preserve"> </w:t>
      </w:r>
      <w:r w:rsidRPr="00E06F8B">
        <w:t>also</w:t>
      </w:r>
      <w:r w:rsidR="000E4CF5">
        <w:t xml:space="preserve"> </w:t>
      </w:r>
      <w:r w:rsidRPr="00E06F8B">
        <w:t>impacts</w:t>
      </w:r>
      <w:r w:rsidR="000E4CF5">
        <w:t xml:space="preserve"> </w:t>
      </w:r>
      <w:r w:rsidRPr="00E06F8B">
        <w:t>on</w:t>
      </w:r>
      <w:r w:rsidR="000E4CF5">
        <w:t xml:space="preserve"> </w:t>
      </w:r>
      <w:r w:rsidRPr="00E06F8B">
        <w:t>the</w:t>
      </w:r>
      <w:r w:rsidR="000E4CF5">
        <w:t xml:space="preserve"> </w:t>
      </w:r>
      <w:r w:rsidRPr="00E06F8B">
        <w:t>teaching</w:t>
      </w:r>
      <w:r w:rsidR="000E4CF5">
        <w:t xml:space="preserve"> </w:t>
      </w:r>
      <w:r w:rsidRPr="00E06F8B">
        <w:t>of</w:t>
      </w:r>
      <w:r w:rsidR="000E4CF5">
        <w:t xml:space="preserve"> </w:t>
      </w:r>
      <w:r w:rsidRPr="00E06F8B">
        <w:t>science</w:t>
      </w:r>
      <w:r w:rsidR="000E4CF5">
        <w:t xml:space="preserve"> </w:t>
      </w:r>
      <w:r w:rsidRPr="00E06F8B">
        <w:t>teachers</w:t>
      </w:r>
      <w:r w:rsidR="000E4CF5">
        <w:t xml:space="preserve"> </w:t>
      </w:r>
      <w:r w:rsidRPr="00E06F8B">
        <w:t>by</w:t>
      </w:r>
      <w:r w:rsidR="000E4CF5">
        <w:t xml:space="preserve"> </w:t>
      </w:r>
      <w:r w:rsidRPr="00E06F8B">
        <w:t>influencing</w:t>
      </w:r>
      <w:r w:rsidR="000E4CF5">
        <w:t xml:space="preserve"> </w:t>
      </w:r>
      <w:r w:rsidRPr="00E06F8B">
        <w:t>their</w:t>
      </w:r>
      <w:r w:rsidR="000E4CF5">
        <w:t xml:space="preserve"> </w:t>
      </w:r>
      <w:r w:rsidRPr="00E06F8B">
        <w:t>pe</w:t>
      </w:r>
      <w:r w:rsidRPr="00E06F8B">
        <w:t>d</w:t>
      </w:r>
      <w:r w:rsidRPr="00E06F8B">
        <w:lastRenderedPageBreak/>
        <w:t>agogical</w:t>
      </w:r>
      <w:r w:rsidR="000E4CF5">
        <w:t xml:space="preserve"> </w:t>
      </w:r>
      <w:r w:rsidRPr="00E06F8B">
        <w:t>beliefs.</w:t>
      </w:r>
      <w:r w:rsidR="000E4CF5">
        <w:t xml:space="preserve"> </w:t>
      </w:r>
      <w:r w:rsidRPr="00E06F8B">
        <w:t>The</w:t>
      </w:r>
      <w:r w:rsidR="000E4CF5">
        <w:t xml:space="preserve"> </w:t>
      </w:r>
      <w:r w:rsidRPr="00E06F8B">
        <w:t>results</w:t>
      </w:r>
      <w:r w:rsidR="000E4CF5">
        <w:t xml:space="preserve"> </w:t>
      </w:r>
      <w:r w:rsidRPr="00E06F8B">
        <w:t>of</w:t>
      </w:r>
      <w:r w:rsidR="000E4CF5">
        <w:t xml:space="preserve"> </w:t>
      </w:r>
      <w:r w:rsidRPr="00E06F8B">
        <w:t>the</w:t>
      </w:r>
      <w:r w:rsidR="000E4CF5">
        <w:t xml:space="preserve"> </w:t>
      </w:r>
      <w:r w:rsidRPr="00E06F8B">
        <w:t>study,</w:t>
      </w:r>
      <w:r w:rsidR="000E4CF5">
        <w:t xml:space="preserve"> </w:t>
      </w:r>
      <w:r w:rsidRPr="00E06F8B">
        <w:t>comparing</w:t>
      </w:r>
      <w:r w:rsidR="000E4CF5">
        <w:t xml:space="preserve"> </w:t>
      </w:r>
      <w:r w:rsidRPr="00E06F8B">
        <w:t>groups</w:t>
      </w:r>
      <w:r w:rsidR="000E4CF5">
        <w:t xml:space="preserve"> </w:t>
      </w:r>
      <w:r w:rsidRPr="00E06F8B">
        <w:t>of</w:t>
      </w:r>
      <w:r w:rsidR="000E4CF5">
        <w:t xml:space="preserve"> </w:t>
      </w:r>
      <w:r w:rsidRPr="00E06F8B">
        <w:t>science</w:t>
      </w:r>
      <w:r w:rsidR="000E4CF5">
        <w:t xml:space="preserve"> </w:t>
      </w:r>
      <w:r w:rsidRPr="00E06F8B">
        <w:t>teachers</w:t>
      </w:r>
      <w:r w:rsidR="000E4CF5">
        <w:t xml:space="preserve"> </w:t>
      </w:r>
      <w:r w:rsidRPr="00E06F8B">
        <w:t>who</w:t>
      </w:r>
      <w:r w:rsidR="000E4CF5">
        <w:t xml:space="preserve"> </w:t>
      </w:r>
      <w:r w:rsidRPr="00E06F8B">
        <w:t>differ</w:t>
      </w:r>
      <w:r w:rsidR="000E4CF5">
        <w:t xml:space="preserve"> </w:t>
      </w:r>
      <w:r w:rsidRPr="00E06F8B">
        <w:t>in</w:t>
      </w:r>
      <w:r w:rsidR="000E4CF5">
        <w:t xml:space="preserve"> </w:t>
      </w:r>
      <w:r w:rsidRPr="00E06F8B">
        <w:t>the</w:t>
      </w:r>
      <w:r w:rsidR="000E4CF5">
        <w:t xml:space="preserve"> </w:t>
      </w:r>
      <w:r w:rsidRPr="00E06F8B">
        <w:t>amount</w:t>
      </w:r>
      <w:r w:rsidR="000E4CF5">
        <w:t xml:space="preserve"> </w:t>
      </w:r>
      <w:r w:rsidRPr="00E06F8B">
        <w:t>of</w:t>
      </w:r>
      <w:r w:rsidR="000E4CF5">
        <w:t xml:space="preserve"> </w:t>
      </w:r>
      <w:r w:rsidRPr="00E06F8B">
        <w:t>college</w:t>
      </w:r>
      <w:r w:rsidR="000E4CF5">
        <w:t xml:space="preserve"> </w:t>
      </w:r>
      <w:r w:rsidRPr="00E06F8B">
        <w:t>science</w:t>
      </w:r>
      <w:r w:rsidR="000E4CF5">
        <w:t xml:space="preserve"> </w:t>
      </w:r>
      <w:r w:rsidRPr="00E06F8B">
        <w:t>courses</w:t>
      </w:r>
      <w:r w:rsidR="000E4CF5">
        <w:t xml:space="preserve"> </w:t>
      </w:r>
      <w:r w:rsidRPr="00E06F8B">
        <w:t>they</w:t>
      </w:r>
      <w:r w:rsidR="000E4CF5">
        <w:t xml:space="preserve"> </w:t>
      </w:r>
      <w:r w:rsidRPr="00E06F8B">
        <w:t>took</w:t>
      </w:r>
      <w:r w:rsidR="000E4CF5">
        <w:t xml:space="preserve"> </w:t>
      </w:r>
      <w:r w:rsidRPr="00E06F8B">
        <w:t>in</w:t>
      </w:r>
      <w:r w:rsidR="000E4CF5">
        <w:t xml:space="preserve"> </w:t>
      </w:r>
      <w:r w:rsidRPr="00E06F8B">
        <w:t>their</w:t>
      </w:r>
      <w:r w:rsidR="000E4CF5">
        <w:t xml:space="preserve"> </w:t>
      </w:r>
      <w:r w:rsidRPr="00E06F8B">
        <w:t>preservice</w:t>
      </w:r>
      <w:r w:rsidR="000E4CF5">
        <w:t xml:space="preserve"> </w:t>
      </w:r>
      <w:r w:rsidRPr="00E06F8B">
        <w:t>teacher</w:t>
      </w:r>
      <w:r w:rsidR="000E4CF5">
        <w:t xml:space="preserve"> </w:t>
      </w:r>
      <w:r w:rsidRPr="00E06F8B">
        <w:t>education</w:t>
      </w:r>
      <w:r w:rsidR="000E4CF5">
        <w:t xml:space="preserve"> </w:t>
      </w:r>
      <w:r w:rsidRPr="00E06F8B">
        <w:t>programs</w:t>
      </w:r>
      <w:r w:rsidR="000E4CF5">
        <w:t xml:space="preserve"> </w:t>
      </w:r>
      <w:r w:rsidRPr="00E06F8B">
        <w:t>provide</w:t>
      </w:r>
      <w:r w:rsidR="000E4CF5">
        <w:t xml:space="preserve"> </w:t>
      </w:r>
      <w:r w:rsidRPr="00E06F8B">
        <w:t>support</w:t>
      </w:r>
      <w:r w:rsidR="000E4CF5">
        <w:t xml:space="preserve"> </w:t>
      </w:r>
      <w:r w:rsidRPr="00E06F8B">
        <w:t>for</w:t>
      </w:r>
      <w:r w:rsidR="000E4CF5">
        <w:t xml:space="preserve"> </w:t>
      </w:r>
      <w:r w:rsidRPr="00E06F8B">
        <w:t>this</w:t>
      </w:r>
      <w:r w:rsidR="000E4CF5">
        <w:t xml:space="preserve"> </w:t>
      </w:r>
      <w:r w:rsidRPr="00E06F8B">
        <w:t>h</w:t>
      </w:r>
      <w:r w:rsidRPr="00E06F8B">
        <w:t>y</w:t>
      </w:r>
      <w:r w:rsidRPr="00E06F8B">
        <w:t>pothesis.</w:t>
      </w:r>
      <w:r w:rsidR="000E4CF5">
        <w:t xml:space="preserve"> </w:t>
      </w:r>
      <w:r w:rsidRPr="00E06F8B">
        <w:t>In</w:t>
      </w:r>
      <w:r w:rsidR="000E4CF5">
        <w:t xml:space="preserve"> </w:t>
      </w:r>
      <w:r w:rsidRPr="00E06F8B">
        <w:t>particular,</w:t>
      </w:r>
      <w:r w:rsidR="000E4CF5">
        <w:t xml:space="preserve"> </w:t>
      </w:r>
      <w:r w:rsidRPr="00E06F8B">
        <w:t>more</w:t>
      </w:r>
      <w:r w:rsidR="000E4CF5">
        <w:t xml:space="preserve"> </w:t>
      </w:r>
      <w:r w:rsidRPr="00E06F8B">
        <w:t>science</w:t>
      </w:r>
      <w:r w:rsidR="000E4CF5">
        <w:t xml:space="preserve"> </w:t>
      </w:r>
      <w:r w:rsidRPr="00E06F8B">
        <w:t>coursework</w:t>
      </w:r>
      <w:r w:rsidR="000E4CF5">
        <w:t xml:space="preserve"> </w:t>
      </w:r>
      <w:r w:rsidRPr="00E06F8B">
        <w:t>seems</w:t>
      </w:r>
      <w:r w:rsidR="000E4CF5">
        <w:t xml:space="preserve"> </w:t>
      </w:r>
      <w:r w:rsidRPr="00E06F8B">
        <w:t>to</w:t>
      </w:r>
      <w:r w:rsidR="000E4CF5">
        <w:t xml:space="preserve"> </w:t>
      </w:r>
      <w:r w:rsidRPr="00E06F8B">
        <w:t>lead</w:t>
      </w:r>
      <w:r w:rsidR="000E4CF5">
        <w:t xml:space="preserve"> </w:t>
      </w:r>
      <w:r w:rsidRPr="00E06F8B">
        <w:t>to</w:t>
      </w:r>
      <w:r w:rsidR="000E4CF5">
        <w:t xml:space="preserve"> </w:t>
      </w:r>
      <w:r w:rsidRPr="00E06F8B">
        <w:t>stronger</w:t>
      </w:r>
      <w:r w:rsidR="000E4CF5">
        <w:t xml:space="preserve"> </w:t>
      </w:r>
      <w:r w:rsidRPr="00E06F8B">
        <w:t>endorsement</w:t>
      </w:r>
      <w:r w:rsidR="000E4CF5">
        <w:t xml:space="preserve"> </w:t>
      </w:r>
      <w:r w:rsidRPr="00E06F8B">
        <w:t>of</w:t>
      </w:r>
      <w:r w:rsidR="000E4CF5">
        <w:t xml:space="preserve"> </w:t>
      </w:r>
      <w:r w:rsidRPr="00E06F8B">
        <w:t>beliefs</w:t>
      </w:r>
      <w:r w:rsidR="000E4CF5">
        <w:t xml:space="preserve"> </w:t>
      </w:r>
      <w:r w:rsidRPr="00E06F8B">
        <w:t>regarding</w:t>
      </w:r>
      <w:r w:rsidR="000E4CF5">
        <w:t xml:space="preserve"> </w:t>
      </w:r>
      <w:r w:rsidRPr="00E06F8B">
        <w:t>teaching</w:t>
      </w:r>
      <w:r w:rsidR="000E4CF5">
        <w:t xml:space="preserve"> </w:t>
      </w:r>
      <w:r w:rsidRPr="00E06F8B">
        <w:t>as</w:t>
      </w:r>
      <w:r w:rsidR="000E4CF5">
        <w:t xml:space="preserve"> </w:t>
      </w:r>
      <w:r w:rsidRPr="00E06F8B">
        <w:t>a</w:t>
      </w:r>
      <w:r w:rsidR="000E4CF5">
        <w:t xml:space="preserve"> </w:t>
      </w:r>
      <w:r w:rsidRPr="00E06F8B">
        <w:t>process</w:t>
      </w:r>
      <w:r w:rsidR="000E4CF5">
        <w:t xml:space="preserve"> </w:t>
      </w:r>
      <w:r w:rsidRPr="00E06F8B">
        <w:t>of</w:t>
      </w:r>
      <w:r w:rsidR="000E4CF5">
        <w:t xml:space="preserve"> </w:t>
      </w:r>
      <w:r w:rsidRPr="00E06F8B">
        <w:t>providing</w:t>
      </w:r>
      <w:r w:rsidR="000E4CF5">
        <w:t xml:space="preserve"> </w:t>
      </w:r>
      <w:r w:rsidRPr="00E06F8B">
        <w:t>su</w:t>
      </w:r>
      <w:r w:rsidRPr="00E06F8B">
        <w:t>p</w:t>
      </w:r>
      <w:r w:rsidRPr="00E06F8B">
        <w:t>port</w:t>
      </w:r>
      <w:r w:rsidR="000E4CF5">
        <w:t xml:space="preserve"> </w:t>
      </w:r>
      <w:r w:rsidRPr="00E06F8B">
        <w:t>for</w:t>
      </w:r>
      <w:r w:rsidR="000E4CF5">
        <w:t xml:space="preserve"> </w:t>
      </w:r>
      <w:r w:rsidRPr="00E06F8B">
        <w:t>the</w:t>
      </w:r>
      <w:r w:rsidR="000E4CF5">
        <w:t xml:space="preserve"> </w:t>
      </w:r>
      <w:r w:rsidRPr="00E06F8B">
        <w:t>learning</w:t>
      </w:r>
      <w:r w:rsidR="000E4CF5">
        <w:t xml:space="preserve"> </w:t>
      </w:r>
      <w:r w:rsidRPr="00E06F8B">
        <w:t>process,</w:t>
      </w:r>
      <w:r w:rsidR="000E4CF5">
        <w:t xml:space="preserve"> </w:t>
      </w:r>
      <w:r w:rsidRPr="00E06F8B">
        <w:t>and</w:t>
      </w:r>
      <w:r w:rsidR="000E4CF5">
        <w:t xml:space="preserve"> </w:t>
      </w:r>
      <w:r w:rsidRPr="00E06F8B">
        <w:t>weaker</w:t>
      </w:r>
      <w:r w:rsidR="000E4CF5">
        <w:t xml:space="preserve"> </w:t>
      </w:r>
      <w:r w:rsidRPr="00E06F8B">
        <w:t>endorsement</w:t>
      </w:r>
      <w:r w:rsidR="000E4CF5">
        <w:t xml:space="preserve"> </w:t>
      </w:r>
      <w:r w:rsidRPr="00E06F8B">
        <w:t>of</w:t>
      </w:r>
      <w:r w:rsidR="000E4CF5">
        <w:t xml:space="preserve"> </w:t>
      </w:r>
      <w:r w:rsidRPr="00E06F8B">
        <w:t>beliefs</w:t>
      </w:r>
      <w:r w:rsidR="000E4CF5">
        <w:t xml:space="preserve"> </w:t>
      </w:r>
      <w:r w:rsidRPr="00E06F8B">
        <w:t>regarding</w:t>
      </w:r>
      <w:r w:rsidR="000E4CF5">
        <w:t xml:space="preserve"> </w:t>
      </w:r>
      <w:r w:rsidRPr="00E06F8B">
        <w:t>the</w:t>
      </w:r>
      <w:r w:rsidR="000E4CF5">
        <w:t xml:space="preserve"> </w:t>
      </w:r>
      <w:r w:rsidRPr="00E06F8B">
        <w:t>limiting</w:t>
      </w:r>
      <w:r w:rsidR="000E4CF5">
        <w:t xml:space="preserve"> </w:t>
      </w:r>
      <w:r w:rsidRPr="00E06F8B">
        <w:t>role</w:t>
      </w:r>
      <w:r w:rsidR="000E4CF5">
        <w:t xml:space="preserve"> </w:t>
      </w:r>
      <w:r w:rsidRPr="00E06F8B">
        <w:t>of</w:t>
      </w:r>
      <w:r w:rsidR="000E4CF5">
        <w:t xml:space="preserve"> </w:t>
      </w:r>
      <w:r w:rsidRPr="00E06F8B">
        <w:t>ability</w:t>
      </w:r>
      <w:r w:rsidR="000E4CF5">
        <w:t xml:space="preserve"> </w:t>
      </w:r>
      <w:r w:rsidRPr="00E06F8B">
        <w:t>in</w:t>
      </w:r>
      <w:r w:rsidR="000E4CF5">
        <w:t xml:space="preserve"> </w:t>
      </w:r>
      <w:r w:rsidRPr="00E06F8B">
        <w:t>successful</w:t>
      </w:r>
      <w:r w:rsidR="000E4CF5">
        <w:t xml:space="preserve"> </w:t>
      </w:r>
      <w:r w:rsidRPr="00E06F8B">
        <w:t>learning</w:t>
      </w:r>
      <w:r w:rsidR="000E4CF5">
        <w:t xml:space="preserve"> </w:t>
      </w:r>
      <w:r w:rsidRPr="00E06F8B">
        <w:t>in</w:t>
      </w:r>
      <w:r w:rsidR="000E4CF5">
        <w:t xml:space="preserve"> </w:t>
      </w:r>
      <w:r w:rsidRPr="00E06F8B">
        <w:t>science.</w:t>
      </w:r>
      <w:r w:rsidR="000E4CF5">
        <w:t xml:space="preserve"> </w:t>
      </w:r>
      <w:r w:rsidRPr="00E06F8B">
        <w:t>More</w:t>
      </w:r>
      <w:r w:rsidR="000E4CF5">
        <w:t xml:space="preserve"> </w:t>
      </w:r>
      <w:r w:rsidRPr="00E06F8B">
        <w:t>science</w:t>
      </w:r>
      <w:r w:rsidR="000E4CF5">
        <w:t xml:space="preserve"> </w:t>
      </w:r>
      <w:r w:rsidRPr="00E06F8B">
        <w:t>coursework</w:t>
      </w:r>
      <w:r w:rsidR="000E4CF5">
        <w:t xml:space="preserve"> </w:t>
      </w:r>
      <w:r w:rsidRPr="00E06F8B">
        <w:t>also</w:t>
      </w:r>
      <w:r w:rsidR="000E4CF5">
        <w:t xml:space="preserve"> </w:t>
      </w:r>
      <w:r w:rsidRPr="00E06F8B">
        <w:t>seems</w:t>
      </w:r>
      <w:r w:rsidR="000E4CF5">
        <w:t xml:space="preserve"> </w:t>
      </w:r>
      <w:r w:rsidRPr="00E06F8B">
        <w:t>to</w:t>
      </w:r>
      <w:r w:rsidR="000E4CF5">
        <w:t xml:space="preserve"> </w:t>
      </w:r>
      <w:r w:rsidRPr="00E06F8B">
        <w:t>be</w:t>
      </w:r>
      <w:r w:rsidR="000E4CF5">
        <w:t xml:space="preserve"> </w:t>
      </w:r>
      <w:r w:rsidRPr="00E06F8B">
        <w:t>associated</w:t>
      </w:r>
      <w:r w:rsidR="000E4CF5">
        <w:t xml:space="preserve"> </w:t>
      </w:r>
      <w:r w:rsidRPr="00E06F8B">
        <w:t>with</w:t>
      </w:r>
      <w:r w:rsidR="000E4CF5">
        <w:t xml:space="preserve"> </w:t>
      </w:r>
      <w:r w:rsidRPr="00E06F8B">
        <w:t>weaker</w:t>
      </w:r>
      <w:r w:rsidR="000E4CF5">
        <w:t xml:space="preserve"> </w:t>
      </w:r>
      <w:r w:rsidRPr="00E06F8B">
        <w:t>endorsement</w:t>
      </w:r>
      <w:r w:rsidR="000E4CF5">
        <w:t xml:space="preserve"> </w:t>
      </w:r>
      <w:r w:rsidRPr="00E06F8B">
        <w:t>of</w:t>
      </w:r>
      <w:r w:rsidR="000E4CF5">
        <w:t xml:space="preserve"> </w:t>
      </w:r>
      <w:r w:rsidRPr="00E06F8B">
        <w:t>cu</w:t>
      </w:r>
      <w:r w:rsidRPr="00E06F8B">
        <w:t>l</w:t>
      </w:r>
      <w:r w:rsidRPr="00E06F8B">
        <w:t>tural</w:t>
      </w:r>
      <w:r w:rsidR="000E4CF5">
        <w:t xml:space="preserve"> </w:t>
      </w:r>
      <w:r w:rsidRPr="00E06F8B">
        <w:t>beliefs.</w:t>
      </w:r>
      <w:r w:rsidR="000E4CF5">
        <w:t xml:space="preserve"> </w:t>
      </w:r>
      <w:r w:rsidRPr="00E06F8B">
        <w:t>Before</w:t>
      </w:r>
      <w:r w:rsidR="000E4CF5">
        <w:t xml:space="preserve"> </w:t>
      </w:r>
      <w:r w:rsidRPr="00E06F8B">
        <w:t>we</w:t>
      </w:r>
      <w:r w:rsidR="000E4CF5">
        <w:t xml:space="preserve"> </w:t>
      </w:r>
      <w:r w:rsidRPr="00E06F8B">
        <w:t>discuss</w:t>
      </w:r>
      <w:r w:rsidR="000E4CF5">
        <w:t xml:space="preserve"> </w:t>
      </w:r>
      <w:r w:rsidRPr="00E06F8B">
        <w:t>the</w:t>
      </w:r>
      <w:r w:rsidR="000E4CF5">
        <w:t xml:space="preserve"> </w:t>
      </w:r>
      <w:r w:rsidRPr="00E06F8B">
        <w:t>implications</w:t>
      </w:r>
      <w:r w:rsidR="000E4CF5">
        <w:t xml:space="preserve"> </w:t>
      </w:r>
      <w:r w:rsidRPr="00E06F8B">
        <w:t>of</w:t>
      </w:r>
      <w:r w:rsidR="000E4CF5">
        <w:t xml:space="preserve"> </w:t>
      </w:r>
      <w:r w:rsidRPr="00E06F8B">
        <w:t>our</w:t>
      </w:r>
      <w:r w:rsidR="000E4CF5">
        <w:t xml:space="preserve"> </w:t>
      </w:r>
      <w:r w:rsidRPr="00E06F8B">
        <w:t>findings,</w:t>
      </w:r>
      <w:r w:rsidR="000E4CF5">
        <w:t xml:space="preserve"> </w:t>
      </w:r>
      <w:r w:rsidRPr="00E06F8B">
        <w:t>we</w:t>
      </w:r>
      <w:r w:rsidR="000E4CF5">
        <w:t xml:space="preserve"> </w:t>
      </w:r>
      <w:r w:rsidRPr="00E06F8B">
        <w:t>wish</w:t>
      </w:r>
      <w:r w:rsidR="000E4CF5">
        <w:t xml:space="preserve"> </w:t>
      </w:r>
      <w:r w:rsidRPr="00E06F8B">
        <w:t>to</w:t>
      </w:r>
      <w:r w:rsidR="000E4CF5">
        <w:t xml:space="preserve"> </w:t>
      </w:r>
      <w:r w:rsidRPr="00E06F8B">
        <w:t>note</w:t>
      </w:r>
      <w:r w:rsidR="000E4CF5">
        <w:t xml:space="preserve"> </w:t>
      </w:r>
      <w:r w:rsidRPr="00E06F8B">
        <w:t>some</w:t>
      </w:r>
      <w:r w:rsidR="000E4CF5">
        <w:t xml:space="preserve"> </w:t>
      </w:r>
      <w:r w:rsidRPr="00E06F8B">
        <w:t>important</w:t>
      </w:r>
      <w:r w:rsidR="000E4CF5">
        <w:t xml:space="preserve"> </w:t>
      </w:r>
      <w:r w:rsidRPr="00E06F8B">
        <w:t>limitations</w:t>
      </w:r>
      <w:r w:rsidR="000E4CF5">
        <w:t xml:space="preserve"> </w:t>
      </w:r>
      <w:r w:rsidRPr="00E06F8B">
        <w:t>in</w:t>
      </w:r>
      <w:r w:rsidR="000E4CF5">
        <w:t xml:space="preserve"> </w:t>
      </w:r>
      <w:r w:rsidRPr="00E06F8B">
        <w:t>the</w:t>
      </w:r>
      <w:r w:rsidR="000E4CF5">
        <w:t xml:space="preserve"> </w:t>
      </w:r>
      <w:r w:rsidRPr="00E06F8B">
        <w:t>scope</w:t>
      </w:r>
      <w:r w:rsidR="000E4CF5">
        <w:t xml:space="preserve"> </w:t>
      </w:r>
      <w:r w:rsidRPr="00E06F8B">
        <w:t>of</w:t>
      </w:r>
      <w:r w:rsidR="000E4CF5">
        <w:t xml:space="preserve"> </w:t>
      </w:r>
      <w:r w:rsidRPr="00E06F8B">
        <w:t>our</w:t>
      </w:r>
      <w:r w:rsidR="000E4CF5">
        <w:t xml:space="preserve"> </w:t>
      </w:r>
      <w:r w:rsidRPr="00E06F8B">
        <w:t>investigation.</w:t>
      </w:r>
    </w:p>
    <w:p w14:paraId="220E2E13" w14:textId="77777777" w:rsidR="007D04A1" w:rsidRPr="00E06F8B" w:rsidRDefault="007D04A1" w:rsidP="00905E05">
      <w:pPr>
        <w:pStyle w:val="BodyTextFirstIndent"/>
      </w:pPr>
      <w:r w:rsidRPr="00E06F8B">
        <w:t>We</w:t>
      </w:r>
      <w:r w:rsidR="000E4CF5">
        <w:t xml:space="preserve"> </w:t>
      </w:r>
      <w:r w:rsidRPr="00E06F8B">
        <w:t>recognize</w:t>
      </w:r>
      <w:r w:rsidR="000E4CF5">
        <w:t xml:space="preserve"> </w:t>
      </w:r>
      <w:r w:rsidRPr="00E06F8B">
        <w:t>that</w:t>
      </w:r>
      <w:r w:rsidR="000E4CF5">
        <w:t xml:space="preserve"> </w:t>
      </w:r>
      <w:r w:rsidRPr="00E06F8B">
        <w:t>our</w:t>
      </w:r>
      <w:r w:rsidR="000E4CF5">
        <w:t xml:space="preserve"> </w:t>
      </w:r>
      <w:r w:rsidRPr="00E06F8B">
        <w:t>investigation</w:t>
      </w:r>
      <w:r w:rsidR="000E4CF5">
        <w:t xml:space="preserve"> </w:t>
      </w:r>
      <w:r w:rsidRPr="00E06F8B">
        <w:t>is</w:t>
      </w:r>
      <w:r w:rsidR="000E4CF5">
        <w:t xml:space="preserve"> </w:t>
      </w:r>
      <w:r w:rsidRPr="00E06F8B">
        <w:t>truly</w:t>
      </w:r>
      <w:r w:rsidR="000E4CF5">
        <w:t xml:space="preserve"> </w:t>
      </w:r>
      <w:r w:rsidRPr="00E06F8B">
        <w:t>preliminary</w:t>
      </w:r>
      <w:r w:rsidR="000E4CF5">
        <w:t xml:space="preserve"> </w:t>
      </w:r>
      <w:r w:rsidRPr="00E06F8B">
        <w:t>in</w:t>
      </w:r>
      <w:r w:rsidR="000E4CF5">
        <w:t xml:space="preserve"> </w:t>
      </w:r>
      <w:r w:rsidRPr="00E06F8B">
        <w:t>that</w:t>
      </w:r>
      <w:r w:rsidR="000E4CF5">
        <w:t xml:space="preserve"> </w:t>
      </w:r>
      <w:r w:rsidRPr="00E06F8B">
        <w:t>we</w:t>
      </w:r>
      <w:r w:rsidR="000E4CF5">
        <w:t xml:space="preserve"> </w:t>
      </w:r>
      <w:r w:rsidRPr="00E06F8B">
        <w:t>considered</w:t>
      </w:r>
      <w:r w:rsidR="000E4CF5">
        <w:t xml:space="preserve"> </w:t>
      </w:r>
      <w:r w:rsidRPr="00E06F8B">
        <w:t>a</w:t>
      </w:r>
      <w:r w:rsidR="000E4CF5">
        <w:t xml:space="preserve"> </w:t>
      </w:r>
      <w:r w:rsidRPr="00E06F8B">
        <w:t>limited</w:t>
      </w:r>
      <w:r w:rsidR="000E4CF5">
        <w:t xml:space="preserve"> </w:t>
      </w:r>
      <w:r w:rsidRPr="00E06F8B">
        <w:t>range</w:t>
      </w:r>
      <w:r w:rsidR="000E4CF5">
        <w:t xml:space="preserve"> </w:t>
      </w:r>
      <w:r w:rsidRPr="00E06F8B">
        <w:t>of</w:t>
      </w:r>
      <w:r w:rsidR="000E4CF5">
        <w:t xml:space="preserve"> </w:t>
      </w:r>
      <w:r w:rsidRPr="00E06F8B">
        <w:t>beliefs</w:t>
      </w:r>
      <w:r w:rsidR="000E4CF5">
        <w:t xml:space="preserve"> </w:t>
      </w:r>
      <w:r w:rsidRPr="00E06F8B">
        <w:t>regarding</w:t>
      </w:r>
      <w:r w:rsidR="000E4CF5">
        <w:t xml:space="preserve"> </w:t>
      </w:r>
      <w:r w:rsidRPr="00E06F8B">
        <w:t>teaching</w:t>
      </w:r>
      <w:r w:rsidR="000E4CF5">
        <w:t xml:space="preserve"> </w:t>
      </w:r>
      <w:r w:rsidRPr="00E06F8B">
        <w:t>and</w:t>
      </w:r>
      <w:r w:rsidR="000E4CF5">
        <w:t xml:space="preserve"> </w:t>
      </w:r>
      <w:r w:rsidRPr="00E06F8B">
        <w:t>learning.</w:t>
      </w:r>
      <w:r w:rsidR="000E4CF5">
        <w:t xml:space="preserve"> </w:t>
      </w:r>
      <w:r w:rsidRPr="00E06F8B">
        <w:t>It</w:t>
      </w:r>
      <w:r w:rsidR="000E4CF5">
        <w:t xml:space="preserve"> </w:t>
      </w:r>
      <w:r w:rsidRPr="00E06F8B">
        <w:t>would</w:t>
      </w:r>
      <w:r w:rsidR="000E4CF5">
        <w:t xml:space="preserve"> </w:t>
      </w:r>
      <w:r w:rsidRPr="00E06F8B">
        <w:t>be</w:t>
      </w:r>
      <w:r w:rsidR="000E4CF5">
        <w:t xml:space="preserve"> </w:t>
      </w:r>
      <w:r w:rsidRPr="00E06F8B">
        <w:t>important</w:t>
      </w:r>
      <w:r w:rsidR="000E4CF5">
        <w:t xml:space="preserve"> </w:t>
      </w:r>
      <w:r w:rsidRPr="00E06F8B">
        <w:t>to</w:t>
      </w:r>
      <w:r w:rsidR="000E4CF5">
        <w:t xml:space="preserve"> </w:t>
      </w:r>
      <w:r w:rsidRPr="00E06F8B">
        <w:t>test</w:t>
      </w:r>
      <w:r w:rsidR="000E4CF5">
        <w:t xml:space="preserve"> </w:t>
      </w:r>
      <w:r w:rsidRPr="00E06F8B">
        <w:t>the</w:t>
      </w:r>
      <w:r w:rsidR="000E4CF5">
        <w:t xml:space="preserve"> </w:t>
      </w:r>
      <w:r w:rsidRPr="00E06F8B">
        <w:t>same</w:t>
      </w:r>
      <w:r w:rsidR="000E4CF5">
        <w:t xml:space="preserve"> </w:t>
      </w:r>
      <w:r w:rsidRPr="00E06F8B">
        <w:t>hypothesis</w:t>
      </w:r>
      <w:r w:rsidR="000E4CF5">
        <w:t xml:space="preserve"> </w:t>
      </w:r>
      <w:r w:rsidRPr="00E06F8B">
        <w:t>in</w:t>
      </w:r>
      <w:r w:rsidR="000E4CF5">
        <w:t xml:space="preserve"> </w:t>
      </w:r>
      <w:r w:rsidRPr="00E06F8B">
        <w:t>a</w:t>
      </w:r>
      <w:r w:rsidR="000E4CF5">
        <w:t xml:space="preserve"> </w:t>
      </w:r>
      <w:r w:rsidRPr="00E06F8B">
        <w:t>wider</w:t>
      </w:r>
      <w:r w:rsidR="000E4CF5">
        <w:t xml:space="preserve"> </w:t>
      </w:r>
      <w:r w:rsidRPr="00E06F8B">
        <w:t>range</w:t>
      </w:r>
      <w:r w:rsidR="000E4CF5">
        <w:t xml:space="preserve"> </w:t>
      </w:r>
      <w:r w:rsidRPr="00E06F8B">
        <w:t>of</w:t>
      </w:r>
      <w:r w:rsidR="000E4CF5">
        <w:t xml:space="preserve"> </w:t>
      </w:r>
      <w:r w:rsidRPr="00E06F8B">
        <w:t>beliefs,</w:t>
      </w:r>
      <w:r w:rsidR="000E4CF5">
        <w:t xml:space="preserve"> </w:t>
      </w:r>
      <w:r w:rsidRPr="00E06F8B">
        <w:t>like</w:t>
      </w:r>
      <w:r w:rsidR="000E4CF5">
        <w:t xml:space="preserve"> </w:t>
      </w:r>
      <w:r w:rsidRPr="00E06F8B">
        <w:t>those</w:t>
      </w:r>
      <w:r w:rsidR="000E4CF5">
        <w:t xml:space="preserve"> </w:t>
      </w:r>
      <w:r w:rsidRPr="00E06F8B">
        <w:t>related</w:t>
      </w:r>
      <w:r w:rsidR="000E4CF5">
        <w:t xml:space="preserve"> </w:t>
      </w:r>
      <w:r w:rsidRPr="00E06F8B">
        <w:t>to</w:t>
      </w:r>
      <w:r w:rsidR="000E4CF5">
        <w:t xml:space="preserve"> </w:t>
      </w:r>
      <w:r w:rsidRPr="00E06F8B">
        <w:t>the</w:t>
      </w:r>
      <w:r w:rsidR="000E4CF5">
        <w:t xml:space="preserve"> </w:t>
      </w:r>
      <w:r w:rsidRPr="00E06F8B">
        <w:t>nature</w:t>
      </w:r>
      <w:r w:rsidR="000E4CF5">
        <w:t xml:space="preserve"> </w:t>
      </w:r>
      <w:r w:rsidRPr="00E06F8B">
        <w:t>of</w:t>
      </w:r>
      <w:r w:rsidR="000E4CF5">
        <w:t xml:space="preserve"> </w:t>
      </w:r>
      <w:r w:rsidRPr="00E06F8B">
        <w:t>science,</w:t>
      </w:r>
      <w:r w:rsidR="000E4CF5">
        <w:t xml:space="preserve"> </w:t>
      </w:r>
      <w:r w:rsidRPr="00E06F8B">
        <w:t>the</w:t>
      </w:r>
      <w:r w:rsidR="000E4CF5">
        <w:t xml:space="preserve"> </w:t>
      </w:r>
      <w:r w:rsidRPr="00E06F8B">
        <w:t>nature</w:t>
      </w:r>
      <w:r w:rsidR="000E4CF5">
        <w:t xml:space="preserve"> </w:t>
      </w:r>
      <w:r w:rsidRPr="00E06F8B">
        <w:t>of</w:t>
      </w:r>
      <w:r w:rsidR="000E4CF5">
        <w:t xml:space="preserve"> </w:t>
      </w:r>
      <w:r w:rsidRPr="00E06F8B">
        <w:t>the</w:t>
      </w:r>
      <w:r w:rsidR="000E4CF5">
        <w:t xml:space="preserve"> </w:t>
      </w:r>
      <w:r w:rsidRPr="00E06F8B">
        <w:t>products</w:t>
      </w:r>
      <w:r w:rsidR="000E4CF5">
        <w:t xml:space="preserve"> </w:t>
      </w:r>
      <w:r w:rsidRPr="00E06F8B">
        <w:t>of</w:t>
      </w:r>
      <w:r w:rsidR="000E4CF5">
        <w:t xml:space="preserve"> </w:t>
      </w:r>
      <w:r w:rsidRPr="00E06F8B">
        <w:t>science</w:t>
      </w:r>
      <w:r w:rsidR="000E4CF5">
        <w:t xml:space="preserve"> </w:t>
      </w:r>
      <w:r w:rsidRPr="00E06F8B">
        <w:t>learning,</w:t>
      </w:r>
      <w:r w:rsidR="000E4CF5">
        <w:t xml:space="preserve"> </w:t>
      </w:r>
      <w:r w:rsidRPr="00E06F8B">
        <w:t>the</w:t>
      </w:r>
      <w:r w:rsidR="000E4CF5">
        <w:t xml:space="preserve"> </w:t>
      </w:r>
      <w:r w:rsidRPr="00E06F8B">
        <w:t>role</w:t>
      </w:r>
      <w:r w:rsidR="000E4CF5">
        <w:t xml:space="preserve"> </w:t>
      </w:r>
      <w:r w:rsidRPr="00E06F8B">
        <w:t>and</w:t>
      </w:r>
      <w:r w:rsidR="000E4CF5">
        <w:t xml:space="preserve"> </w:t>
      </w:r>
      <w:r w:rsidRPr="00E06F8B">
        <w:t>nature</w:t>
      </w:r>
      <w:r w:rsidR="000E4CF5">
        <w:t xml:space="preserve"> </w:t>
      </w:r>
      <w:r w:rsidRPr="00E06F8B">
        <w:t>of</w:t>
      </w:r>
      <w:r w:rsidR="000E4CF5">
        <w:t xml:space="preserve"> </w:t>
      </w:r>
      <w:r w:rsidRPr="00E06F8B">
        <w:t>assessment</w:t>
      </w:r>
      <w:r w:rsidR="000E4CF5">
        <w:t xml:space="preserve"> </w:t>
      </w:r>
      <w:r w:rsidRPr="00E06F8B">
        <w:t>in</w:t>
      </w:r>
      <w:r w:rsidR="000E4CF5">
        <w:t xml:space="preserve"> </w:t>
      </w:r>
      <w:r w:rsidRPr="00E06F8B">
        <w:t>science</w:t>
      </w:r>
      <w:r w:rsidR="000E4CF5">
        <w:t xml:space="preserve"> </w:t>
      </w:r>
      <w:r w:rsidRPr="00E06F8B">
        <w:t>learning,</w:t>
      </w:r>
      <w:r w:rsidR="000E4CF5">
        <w:t xml:space="preserve"> </w:t>
      </w:r>
      <w:r w:rsidRPr="00E06F8B">
        <w:t>and</w:t>
      </w:r>
      <w:r w:rsidR="000E4CF5">
        <w:t xml:space="preserve"> </w:t>
      </w:r>
      <w:r w:rsidRPr="00E06F8B">
        <w:t>even</w:t>
      </w:r>
      <w:r w:rsidR="000E4CF5">
        <w:t xml:space="preserve"> </w:t>
      </w:r>
      <w:r w:rsidRPr="00E06F8B">
        <w:t>the</w:t>
      </w:r>
      <w:r w:rsidR="000E4CF5">
        <w:t xml:space="preserve"> </w:t>
      </w:r>
      <w:r w:rsidRPr="00E06F8B">
        <w:t>epistemological</w:t>
      </w:r>
      <w:r w:rsidR="000E4CF5">
        <w:t xml:space="preserve"> </w:t>
      </w:r>
      <w:r w:rsidRPr="00E06F8B">
        <w:t>beliefs</w:t>
      </w:r>
      <w:r w:rsidR="000E4CF5">
        <w:t xml:space="preserve"> </w:t>
      </w:r>
      <w:r w:rsidRPr="00E06F8B">
        <w:t>of</w:t>
      </w:r>
      <w:r w:rsidR="000E4CF5">
        <w:t xml:space="preserve"> </w:t>
      </w:r>
      <w:r w:rsidRPr="00E06F8B">
        <w:t>the</w:t>
      </w:r>
      <w:r w:rsidR="000E4CF5">
        <w:t xml:space="preserve"> </w:t>
      </w:r>
      <w:r w:rsidRPr="00E06F8B">
        <w:t>science</w:t>
      </w:r>
      <w:r w:rsidR="000E4CF5">
        <w:t xml:space="preserve"> </w:t>
      </w:r>
      <w:r w:rsidRPr="00E06F8B">
        <w:t>teachers.</w:t>
      </w:r>
      <w:r w:rsidR="000E4CF5">
        <w:t xml:space="preserve"> </w:t>
      </w:r>
      <w:r w:rsidRPr="00E06F8B">
        <w:t>Some</w:t>
      </w:r>
      <w:r w:rsidR="000E4CF5">
        <w:t xml:space="preserve"> </w:t>
      </w:r>
      <w:r w:rsidRPr="00E06F8B">
        <w:t>met</w:t>
      </w:r>
      <w:r w:rsidRPr="00E06F8B">
        <w:t>h</w:t>
      </w:r>
      <w:r w:rsidRPr="00E06F8B">
        <w:t>odological</w:t>
      </w:r>
      <w:r w:rsidR="000E4CF5">
        <w:t xml:space="preserve"> </w:t>
      </w:r>
      <w:r w:rsidRPr="00E06F8B">
        <w:t>limitations</w:t>
      </w:r>
      <w:r w:rsidR="000E4CF5">
        <w:t xml:space="preserve"> </w:t>
      </w:r>
      <w:r w:rsidRPr="00E06F8B">
        <w:t>should</w:t>
      </w:r>
      <w:r w:rsidR="000E4CF5">
        <w:t xml:space="preserve"> </w:t>
      </w:r>
      <w:r w:rsidRPr="00E06F8B">
        <w:t>also</w:t>
      </w:r>
      <w:r w:rsidR="000E4CF5">
        <w:t xml:space="preserve"> </w:t>
      </w:r>
      <w:r w:rsidRPr="00E06F8B">
        <w:t>be</w:t>
      </w:r>
      <w:r w:rsidR="000E4CF5">
        <w:t xml:space="preserve"> </w:t>
      </w:r>
      <w:r w:rsidRPr="00E06F8B">
        <w:t>mentioned.</w:t>
      </w:r>
      <w:r w:rsidR="000E4CF5">
        <w:t xml:space="preserve"> </w:t>
      </w:r>
      <w:r w:rsidRPr="00E06F8B">
        <w:t>First,</w:t>
      </w:r>
      <w:r w:rsidR="000E4CF5">
        <w:t xml:space="preserve"> </w:t>
      </w:r>
      <w:r w:rsidRPr="00E06F8B">
        <w:t>in</w:t>
      </w:r>
      <w:r w:rsidR="000E4CF5">
        <w:t xml:space="preserve"> </w:t>
      </w:r>
      <w:r w:rsidRPr="00E06F8B">
        <w:t>assessing</w:t>
      </w:r>
      <w:r w:rsidR="000E4CF5">
        <w:t xml:space="preserve"> </w:t>
      </w:r>
      <w:r w:rsidRPr="00E06F8B">
        <w:t>the</w:t>
      </w:r>
      <w:r w:rsidR="000E4CF5">
        <w:t xml:space="preserve"> </w:t>
      </w:r>
      <w:r w:rsidRPr="00E06F8B">
        <w:t>beliefs</w:t>
      </w:r>
      <w:r w:rsidR="000E4CF5">
        <w:t xml:space="preserve"> </w:t>
      </w:r>
      <w:r w:rsidRPr="00E06F8B">
        <w:t>of</w:t>
      </w:r>
      <w:r w:rsidR="000E4CF5">
        <w:t xml:space="preserve"> </w:t>
      </w:r>
      <w:r w:rsidRPr="00E06F8B">
        <w:t>the</w:t>
      </w:r>
      <w:r w:rsidR="000E4CF5">
        <w:t xml:space="preserve"> </w:t>
      </w:r>
      <w:r w:rsidRPr="00E06F8B">
        <w:t>science</w:t>
      </w:r>
      <w:r w:rsidR="000E4CF5">
        <w:t xml:space="preserve"> </w:t>
      </w:r>
      <w:r w:rsidRPr="00E06F8B">
        <w:t>teachers,</w:t>
      </w:r>
      <w:r w:rsidR="000E4CF5">
        <w:t xml:space="preserve"> </w:t>
      </w:r>
      <w:r w:rsidRPr="00E06F8B">
        <w:t>we</w:t>
      </w:r>
      <w:r w:rsidR="000E4CF5">
        <w:t xml:space="preserve"> </w:t>
      </w:r>
      <w:r w:rsidRPr="00E06F8B">
        <w:t>relied</w:t>
      </w:r>
      <w:r w:rsidR="000E4CF5">
        <w:t xml:space="preserve"> </w:t>
      </w:r>
      <w:r w:rsidRPr="00E06F8B">
        <w:t>on</w:t>
      </w:r>
      <w:r w:rsidR="000E4CF5">
        <w:t xml:space="preserve"> </w:t>
      </w:r>
      <w:r w:rsidRPr="00E06F8B">
        <w:t>self-reports</w:t>
      </w:r>
      <w:r w:rsidR="000E4CF5">
        <w:t xml:space="preserve"> </w:t>
      </w:r>
      <w:r w:rsidRPr="00E06F8B">
        <w:t>of</w:t>
      </w:r>
      <w:r w:rsidR="000E4CF5">
        <w:t xml:space="preserve"> </w:t>
      </w:r>
      <w:r w:rsidRPr="00E06F8B">
        <w:t>the</w:t>
      </w:r>
      <w:r w:rsidR="000E4CF5">
        <w:t xml:space="preserve"> </w:t>
      </w:r>
      <w:r w:rsidRPr="00E06F8B">
        <w:t>teachers.</w:t>
      </w:r>
      <w:r w:rsidR="000E4CF5">
        <w:t xml:space="preserve"> </w:t>
      </w:r>
      <w:r w:rsidRPr="00E06F8B">
        <w:t>Self-reports</w:t>
      </w:r>
      <w:r w:rsidR="000E4CF5">
        <w:t xml:space="preserve"> </w:t>
      </w:r>
      <w:r w:rsidRPr="00E06F8B">
        <w:t>using</w:t>
      </w:r>
      <w:r w:rsidR="000E4CF5">
        <w:t xml:space="preserve"> </w:t>
      </w:r>
      <w:r w:rsidRPr="00E06F8B">
        <w:t>questionnaires</w:t>
      </w:r>
      <w:r w:rsidR="000E4CF5">
        <w:t xml:space="preserve"> </w:t>
      </w:r>
      <w:r w:rsidRPr="00E06F8B">
        <w:t>are</w:t>
      </w:r>
      <w:r w:rsidR="000E4CF5">
        <w:t xml:space="preserve"> </w:t>
      </w:r>
      <w:r w:rsidRPr="00E06F8B">
        <w:t>a</w:t>
      </w:r>
      <w:r w:rsidR="000E4CF5">
        <w:t xml:space="preserve"> </w:t>
      </w:r>
      <w:r w:rsidRPr="00E06F8B">
        <w:t>commonly</w:t>
      </w:r>
      <w:r w:rsidR="000E4CF5">
        <w:t xml:space="preserve"> </w:t>
      </w:r>
      <w:r w:rsidRPr="00E06F8B">
        <w:t>used</w:t>
      </w:r>
      <w:r w:rsidR="000E4CF5">
        <w:t xml:space="preserve"> </w:t>
      </w:r>
      <w:r w:rsidRPr="00E06F8B">
        <w:t>method</w:t>
      </w:r>
      <w:r w:rsidR="000E4CF5">
        <w:t xml:space="preserve"> </w:t>
      </w:r>
      <w:r w:rsidRPr="00E06F8B">
        <w:t>of</w:t>
      </w:r>
      <w:r w:rsidR="000E4CF5">
        <w:t xml:space="preserve"> </w:t>
      </w:r>
      <w:r w:rsidRPr="00E06F8B">
        <w:t>a</w:t>
      </w:r>
      <w:r w:rsidRPr="00E06F8B">
        <w:t>s</w:t>
      </w:r>
      <w:r w:rsidRPr="00E06F8B">
        <w:t>sessing</w:t>
      </w:r>
      <w:r w:rsidR="000E4CF5">
        <w:t xml:space="preserve"> </w:t>
      </w:r>
      <w:r w:rsidRPr="00E06F8B">
        <w:t>beliefs</w:t>
      </w:r>
      <w:r w:rsidR="000E4CF5">
        <w:t xml:space="preserve"> </w:t>
      </w:r>
      <w:r w:rsidRPr="00E06F8B">
        <w:t>in</w:t>
      </w:r>
      <w:r w:rsidR="000E4CF5">
        <w:t xml:space="preserve"> </w:t>
      </w:r>
      <w:r w:rsidRPr="00E06F8B">
        <w:t>various</w:t>
      </w:r>
      <w:r w:rsidR="000E4CF5">
        <w:t xml:space="preserve"> </w:t>
      </w:r>
      <w:r w:rsidRPr="00E06F8B">
        <w:t>social</w:t>
      </w:r>
      <w:r w:rsidR="000E4CF5">
        <w:t xml:space="preserve"> </w:t>
      </w:r>
      <w:r w:rsidRPr="00E06F8B">
        <w:t>and</w:t>
      </w:r>
      <w:r w:rsidR="000E4CF5">
        <w:t xml:space="preserve"> </w:t>
      </w:r>
      <w:r w:rsidRPr="00E06F8B">
        <w:t>behavioral</w:t>
      </w:r>
      <w:r w:rsidR="000E4CF5">
        <w:t xml:space="preserve"> </w:t>
      </w:r>
      <w:r w:rsidRPr="00E06F8B">
        <w:t>sciences,</w:t>
      </w:r>
      <w:r w:rsidR="000E4CF5">
        <w:t xml:space="preserve"> </w:t>
      </w:r>
      <w:r w:rsidRPr="00E06F8B">
        <w:t>however,</w:t>
      </w:r>
      <w:r w:rsidR="000E4CF5">
        <w:t xml:space="preserve"> </w:t>
      </w:r>
      <w:r w:rsidRPr="00E06F8B">
        <w:t>beliefs</w:t>
      </w:r>
      <w:r w:rsidR="000E4CF5">
        <w:t xml:space="preserve"> </w:t>
      </w:r>
      <w:r w:rsidRPr="00E06F8B">
        <w:t>can</w:t>
      </w:r>
      <w:r w:rsidR="000E4CF5">
        <w:t xml:space="preserve"> </w:t>
      </w:r>
      <w:r w:rsidRPr="00E06F8B">
        <w:t>be</w:t>
      </w:r>
      <w:r w:rsidR="000E4CF5">
        <w:t xml:space="preserve"> </w:t>
      </w:r>
      <w:r w:rsidRPr="00E06F8B">
        <w:t>inherently</w:t>
      </w:r>
      <w:r w:rsidR="000E4CF5">
        <w:t xml:space="preserve"> </w:t>
      </w:r>
      <w:r w:rsidRPr="00E06F8B">
        <w:t>complex,</w:t>
      </w:r>
      <w:r w:rsidR="000E4CF5">
        <w:t xml:space="preserve"> </w:t>
      </w:r>
      <w:r w:rsidRPr="00E06F8B">
        <w:t>and</w:t>
      </w:r>
      <w:r w:rsidR="000E4CF5">
        <w:t xml:space="preserve"> </w:t>
      </w:r>
      <w:r w:rsidRPr="00E06F8B">
        <w:t>thus,</w:t>
      </w:r>
      <w:r w:rsidR="000E4CF5">
        <w:t xml:space="preserve"> </w:t>
      </w:r>
      <w:r w:rsidRPr="00E06F8B">
        <w:t>some</w:t>
      </w:r>
      <w:r w:rsidR="000E4CF5">
        <w:t xml:space="preserve"> </w:t>
      </w:r>
      <w:r w:rsidRPr="00E06F8B">
        <w:t>scholars</w:t>
      </w:r>
      <w:r w:rsidR="000E4CF5">
        <w:t xml:space="preserve"> </w:t>
      </w:r>
      <w:r w:rsidRPr="00E06F8B">
        <w:t>suggest</w:t>
      </w:r>
      <w:r w:rsidR="000E4CF5">
        <w:t xml:space="preserve"> </w:t>
      </w:r>
      <w:r w:rsidRPr="00E06F8B">
        <w:t>that</w:t>
      </w:r>
      <w:r w:rsidR="000E4CF5">
        <w:t xml:space="preserve"> </w:t>
      </w:r>
      <w:r w:rsidRPr="00E06F8B">
        <w:t>more</w:t>
      </w:r>
      <w:r w:rsidR="000E4CF5">
        <w:t xml:space="preserve"> </w:t>
      </w:r>
      <w:r w:rsidRPr="00E06F8B">
        <w:t>qualitative</w:t>
      </w:r>
      <w:r w:rsidR="000E4CF5">
        <w:t xml:space="preserve"> </w:t>
      </w:r>
      <w:r w:rsidRPr="00E06F8B">
        <w:t>and</w:t>
      </w:r>
      <w:r w:rsidR="000E4CF5">
        <w:t xml:space="preserve"> </w:t>
      </w:r>
      <w:r w:rsidRPr="00E06F8B">
        <w:t>in-depth</w:t>
      </w:r>
      <w:r w:rsidR="000E4CF5">
        <w:t xml:space="preserve"> </w:t>
      </w:r>
      <w:r w:rsidRPr="00E06F8B">
        <w:t>methods</w:t>
      </w:r>
      <w:r w:rsidR="000E4CF5">
        <w:t xml:space="preserve"> </w:t>
      </w:r>
      <w:r w:rsidRPr="00E06F8B">
        <w:t>should</w:t>
      </w:r>
      <w:r w:rsidR="000E4CF5">
        <w:t xml:space="preserve"> </w:t>
      </w:r>
      <w:r w:rsidRPr="00E06F8B">
        <w:t>be</w:t>
      </w:r>
      <w:r w:rsidR="000E4CF5">
        <w:t xml:space="preserve"> </w:t>
      </w:r>
      <w:r w:rsidRPr="00E06F8B">
        <w:t>used</w:t>
      </w:r>
      <w:r w:rsidR="000E4CF5">
        <w:t xml:space="preserve"> </w:t>
      </w:r>
      <w:r w:rsidRPr="00E06F8B">
        <w:t>to</w:t>
      </w:r>
      <w:r w:rsidR="000E4CF5">
        <w:t xml:space="preserve"> </w:t>
      </w:r>
      <w:r w:rsidRPr="00E06F8B">
        <w:t>illuminate</w:t>
      </w:r>
      <w:r w:rsidR="000E4CF5">
        <w:t xml:space="preserve"> </w:t>
      </w:r>
      <w:r w:rsidRPr="00E06F8B">
        <w:t>on</w:t>
      </w:r>
      <w:r w:rsidR="000E4CF5">
        <w:t xml:space="preserve"> </w:t>
      </w:r>
      <w:r w:rsidRPr="00E06F8B">
        <w:t>teachers</w:t>
      </w:r>
      <w:r w:rsidR="000E4CF5">
        <w:t xml:space="preserve"> </w:t>
      </w:r>
      <w:r w:rsidRPr="00E06F8B">
        <w:t>beliefs.</w:t>
      </w:r>
      <w:r w:rsidR="000E4CF5">
        <w:t xml:space="preserve"> </w:t>
      </w:r>
      <w:r w:rsidRPr="00E06F8B">
        <w:t>We</w:t>
      </w:r>
      <w:r w:rsidR="000E4CF5">
        <w:t xml:space="preserve"> </w:t>
      </w:r>
      <w:r w:rsidRPr="00E06F8B">
        <w:t>agree</w:t>
      </w:r>
      <w:r w:rsidR="000E4CF5">
        <w:t xml:space="preserve"> </w:t>
      </w:r>
      <w:r w:rsidRPr="00E06F8B">
        <w:t>that</w:t>
      </w:r>
      <w:r w:rsidR="000E4CF5">
        <w:t xml:space="preserve"> </w:t>
      </w:r>
      <w:r w:rsidRPr="00E06F8B">
        <w:t>such</w:t>
      </w:r>
      <w:r w:rsidR="000E4CF5">
        <w:t xml:space="preserve"> </w:t>
      </w:r>
      <w:r w:rsidRPr="00E06F8B">
        <w:t>qualitative</w:t>
      </w:r>
      <w:r w:rsidR="000E4CF5">
        <w:t xml:space="preserve"> </w:t>
      </w:r>
      <w:r w:rsidRPr="00E06F8B">
        <w:t>data</w:t>
      </w:r>
      <w:r w:rsidR="000E4CF5">
        <w:t xml:space="preserve"> </w:t>
      </w:r>
      <w:r w:rsidRPr="00E06F8B">
        <w:t>could</w:t>
      </w:r>
      <w:r w:rsidR="000E4CF5">
        <w:t xml:space="preserve"> </w:t>
      </w:r>
      <w:r w:rsidRPr="00E06F8B">
        <w:t>help</w:t>
      </w:r>
      <w:r w:rsidR="000E4CF5">
        <w:t xml:space="preserve"> </w:t>
      </w:r>
      <w:r w:rsidRPr="00E06F8B">
        <w:t>in</w:t>
      </w:r>
      <w:r w:rsidR="000E4CF5">
        <w:t xml:space="preserve"> </w:t>
      </w:r>
      <w:r w:rsidRPr="00E06F8B">
        <w:t>strengthening</w:t>
      </w:r>
      <w:r w:rsidR="000E4CF5">
        <w:t xml:space="preserve"> </w:t>
      </w:r>
      <w:r w:rsidRPr="00E06F8B">
        <w:t>the</w:t>
      </w:r>
      <w:r w:rsidR="000E4CF5">
        <w:t xml:space="preserve"> </w:t>
      </w:r>
      <w:r w:rsidRPr="00E06F8B">
        <w:t>test</w:t>
      </w:r>
      <w:r w:rsidR="000E4CF5">
        <w:t xml:space="preserve"> </w:t>
      </w:r>
      <w:r w:rsidRPr="00E06F8B">
        <w:t>of</w:t>
      </w:r>
      <w:r w:rsidR="000E4CF5">
        <w:t xml:space="preserve"> </w:t>
      </w:r>
      <w:r w:rsidRPr="00E06F8B">
        <w:t>the</w:t>
      </w:r>
      <w:r w:rsidR="000E4CF5">
        <w:t xml:space="preserve"> </w:t>
      </w:r>
      <w:r w:rsidRPr="00E06F8B">
        <w:t>hypothesis.</w:t>
      </w:r>
      <w:r w:rsidR="000E4CF5">
        <w:t xml:space="preserve"> </w:t>
      </w:r>
      <w:r w:rsidRPr="00E06F8B">
        <w:t>Second,</w:t>
      </w:r>
      <w:r w:rsidR="000E4CF5">
        <w:t xml:space="preserve"> </w:t>
      </w:r>
      <w:r w:rsidRPr="00E06F8B">
        <w:t>we</w:t>
      </w:r>
      <w:r w:rsidR="000E4CF5">
        <w:t xml:space="preserve"> </w:t>
      </w:r>
      <w:r w:rsidRPr="00E06F8B">
        <w:t>based</w:t>
      </w:r>
      <w:r w:rsidR="000E4CF5">
        <w:t xml:space="preserve"> </w:t>
      </w:r>
      <w:r w:rsidRPr="00E06F8B">
        <w:t>the</w:t>
      </w:r>
      <w:r w:rsidR="000E4CF5">
        <w:t xml:space="preserve"> </w:t>
      </w:r>
      <w:r w:rsidRPr="00E06F8B">
        <w:t>measure</w:t>
      </w:r>
      <w:r w:rsidR="000E4CF5">
        <w:t xml:space="preserve"> </w:t>
      </w:r>
      <w:r w:rsidRPr="00E06F8B">
        <w:t>of</w:t>
      </w:r>
      <w:r w:rsidR="000E4CF5">
        <w:t xml:space="preserve"> </w:t>
      </w:r>
      <w:r w:rsidRPr="00E06F8B">
        <w:t>science</w:t>
      </w:r>
      <w:r w:rsidR="000E4CF5">
        <w:t xml:space="preserve"> </w:t>
      </w:r>
      <w:r w:rsidRPr="00E06F8B">
        <w:t>cours</w:t>
      </w:r>
      <w:r w:rsidRPr="00E06F8B">
        <w:t>e</w:t>
      </w:r>
      <w:r w:rsidRPr="00E06F8B">
        <w:t>work</w:t>
      </w:r>
      <w:r w:rsidR="000E4CF5">
        <w:t xml:space="preserve"> </w:t>
      </w:r>
      <w:r w:rsidRPr="00E06F8B">
        <w:t>on</w:t>
      </w:r>
      <w:r w:rsidR="000E4CF5">
        <w:t xml:space="preserve"> </w:t>
      </w:r>
      <w:r w:rsidRPr="00E06F8B">
        <w:t>grouping</w:t>
      </w:r>
      <w:r w:rsidR="000E4CF5">
        <w:t xml:space="preserve"> </w:t>
      </w:r>
      <w:r w:rsidRPr="00E06F8B">
        <w:t>variables</w:t>
      </w:r>
      <w:r w:rsidR="000E4CF5">
        <w:t xml:space="preserve"> </w:t>
      </w:r>
      <w:r w:rsidRPr="00E06F8B">
        <w:t>(preservice</w:t>
      </w:r>
      <w:r w:rsidR="000E4CF5">
        <w:t xml:space="preserve"> </w:t>
      </w:r>
      <w:r w:rsidRPr="00E06F8B">
        <w:t>curriculum</w:t>
      </w:r>
      <w:r w:rsidR="000E4CF5">
        <w:t xml:space="preserve"> </w:t>
      </w:r>
      <w:r w:rsidRPr="00E06F8B">
        <w:t>and</w:t>
      </w:r>
      <w:r w:rsidR="000E4CF5">
        <w:t xml:space="preserve"> </w:t>
      </w:r>
      <w:r w:rsidRPr="00E06F8B">
        <w:t>major),</w:t>
      </w:r>
      <w:r w:rsidR="000E4CF5">
        <w:t xml:space="preserve"> </w:t>
      </w:r>
      <w:r w:rsidRPr="00E06F8B">
        <w:t>which</w:t>
      </w:r>
      <w:r w:rsidR="000E4CF5">
        <w:t xml:space="preserve"> </w:t>
      </w:r>
      <w:r w:rsidRPr="00E06F8B">
        <w:t>are</w:t>
      </w:r>
      <w:r w:rsidR="000E4CF5">
        <w:t xml:space="preserve"> </w:t>
      </w:r>
      <w:r w:rsidRPr="00E06F8B">
        <w:t>not</w:t>
      </w:r>
      <w:r w:rsidR="000E4CF5">
        <w:t xml:space="preserve"> </w:t>
      </w:r>
      <w:r w:rsidRPr="00E06F8B">
        <w:t>direct</w:t>
      </w:r>
      <w:r w:rsidR="000E4CF5">
        <w:t xml:space="preserve"> </w:t>
      </w:r>
      <w:r w:rsidRPr="00E06F8B">
        <w:t>measures</w:t>
      </w:r>
      <w:r w:rsidR="000E4CF5">
        <w:t xml:space="preserve"> </w:t>
      </w:r>
      <w:r w:rsidRPr="00E06F8B">
        <w:t>of</w:t>
      </w:r>
      <w:r w:rsidR="000E4CF5">
        <w:t xml:space="preserve"> </w:t>
      </w:r>
      <w:r w:rsidRPr="00E06F8B">
        <w:t>the</w:t>
      </w:r>
      <w:r w:rsidR="000E4CF5">
        <w:t xml:space="preserve"> </w:t>
      </w:r>
      <w:r w:rsidRPr="00E06F8B">
        <w:t>number</w:t>
      </w:r>
      <w:r w:rsidR="000E4CF5">
        <w:t xml:space="preserve"> </w:t>
      </w:r>
      <w:r w:rsidRPr="00E06F8B">
        <w:t>of</w:t>
      </w:r>
      <w:r w:rsidR="000E4CF5">
        <w:t xml:space="preserve"> </w:t>
      </w:r>
      <w:r w:rsidRPr="00E06F8B">
        <w:t>science</w:t>
      </w:r>
      <w:r w:rsidR="000E4CF5">
        <w:t xml:space="preserve"> </w:t>
      </w:r>
      <w:r w:rsidRPr="00E06F8B">
        <w:t>subjects</w:t>
      </w:r>
      <w:r w:rsidR="000E4CF5">
        <w:t xml:space="preserve"> </w:t>
      </w:r>
      <w:r w:rsidRPr="00E06F8B">
        <w:t>that</w:t>
      </w:r>
      <w:r w:rsidR="000E4CF5">
        <w:t xml:space="preserve"> </w:t>
      </w:r>
      <w:r w:rsidRPr="00E06F8B">
        <w:t>the</w:t>
      </w:r>
      <w:r w:rsidR="000E4CF5">
        <w:t xml:space="preserve"> </w:t>
      </w:r>
      <w:r w:rsidRPr="00E06F8B">
        <w:t>teachers</w:t>
      </w:r>
      <w:r w:rsidR="000E4CF5">
        <w:t xml:space="preserve"> </w:t>
      </w:r>
      <w:r w:rsidRPr="00E06F8B">
        <w:t>actually</w:t>
      </w:r>
      <w:r w:rsidR="000E4CF5">
        <w:t xml:space="preserve"> </w:t>
      </w:r>
      <w:r w:rsidRPr="00E06F8B">
        <w:t>took</w:t>
      </w:r>
      <w:r w:rsidR="000E4CF5">
        <w:t xml:space="preserve"> </w:t>
      </w:r>
      <w:r w:rsidRPr="00E06F8B">
        <w:t>in</w:t>
      </w:r>
      <w:r w:rsidR="000E4CF5">
        <w:t xml:space="preserve"> </w:t>
      </w:r>
      <w:r w:rsidRPr="00E06F8B">
        <w:t>their</w:t>
      </w:r>
      <w:r w:rsidR="000E4CF5">
        <w:t xml:space="preserve"> </w:t>
      </w:r>
      <w:r w:rsidRPr="00E06F8B">
        <w:t>preservice</w:t>
      </w:r>
      <w:r w:rsidR="000E4CF5">
        <w:t xml:space="preserve"> </w:t>
      </w:r>
      <w:r w:rsidRPr="00E06F8B">
        <w:t>education.</w:t>
      </w:r>
      <w:r w:rsidR="000E4CF5">
        <w:t xml:space="preserve"> </w:t>
      </w:r>
      <w:r w:rsidRPr="00E06F8B">
        <w:t>In</w:t>
      </w:r>
      <w:r w:rsidR="000E4CF5">
        <w:t xml:space="preserve"> </w:t>
      </w:r>
      <w:r w:rsidRPr="00E06F8B">
        <w:t>the</w:t>
      </w:r>
      <w:r w:rsidR="000E4CF5">
        <w:t xml:space="preserve"> </w:t>
      </w:r>
      <w:r w:rsidRPr="00E06F8B">
        <w:t>Philippines,</w:t>
      </w:r>
      <w:r w:rsidR="000E4CF5">
        <w:t xml:space="preserve"> </w:t>
      </w:r>
      <w:r w:rsidRPr="00E06F8B">
        <w:t>the</w:t>
      </w:r>
      <w:r w:rsidR="000E4CF5">
        <w:t xml:space="preserve"> </w:t>
      </w:r>
      <w:r w:rsidRPr="00E06F8B">
        <w:t>national</w:t>
      </w:r>
      <w:r w:rsidR="000E4CF5">
        <w:t xml:space="preserve"> </w:t>
      </w:r>
      <w:r w:rsidRPr="00E06F8B">
        <w:t>government</w:t>
      </w:r>
      <w:r w:rsidR="000E4CF5">
        <w:t xml:space="preserve"> </w:t>
      </w:r>
      <w:r w:rsidRPr="00E06F8B">
        <w:t>regulates</w:t>
      </w:r>
      <w:r w:rsidR="000E4CF5">
        <w:t xml:space="preserve"> </w:t>
      </w:r>
      <w:r w:rsidRPr="00E06F8B">
        <w:t>the</w:t>
      </w:r>
      <w:r w:rsidR="000E4CF5">
        <w:t xml:space="preserve"> </w:t>
      </w:r>
      <w:r w:rsidRPr="00E06F8B">
        <w:t>curriculum</w:t>
      </w:r>
      <w:r w:rsidR="000E4CF5">
        <w:t xml:space="preserve"> </w:t>
      </w:r>
      <w:r w:rsidRPr="00E06F8B">
        <w:t>of</w:t>
      </w:r>
      <w:r w:rsidR="000E4CF5">
        <w:t xml:space="preserve"> </w:t>
      </w:r>
      <w:r w:rsidRPr="00E06F8B">
        <w:t>all</w:t>
      </w:r>
      <w:r w:rsidR="000E4CF5">
        <w:t xml:space="preserve"> </w:t>
      </w:r>
      <w:r w:rsidRPr="00E06F8B">
        <w:t>college</w:t>
      </w:r>
      <w:r w:rsidR="000E4CF5">
        <w:t xml:space="preserve"> </w:t>
      </w:r>
      <w:r w:rsidRPr="00E06F8B">
        <w:t>programs,</w:t>
      </w:r>
      <w:r w:rsidR="000E4CF5">
        <w:t xml:space="preserve"> </w:t>
      </w:r>
      <w:r w:rsidRPr="00E06F8B">
        <w:t>and</w:t>
      </w:r>
      <w:r w:rsidR="000E4CF5">
        <w:t xml:space="preserve"> </w:t>
      </w:r>
      <w:r w:rsidRPr="00E06F8B">
        <w:t>thus</w:t>
      </w:r>
      <w:r w:rsidR="000E4CF5">
        <w:t xml:space="preserve"> </w:t>
      </w:r>
      <w:r w:rsidRPr="00E06F8B">
        <w:t>we</w:t>
      </w:r>
      <w:r w:rsidR="000E4CF5">
        <w:t xml:space="preserve"> </w:t>
      </w:r>
      <w:r w:rsidRPr="00E06F8B">
        <w:t>can</w:t>
      </w:r>
      <w:r w:rsidR="000E4CF5">
        <w:t xml:space="preserve"> </w:t>
      </w:r>
      <w:r w:rsidRPr="00E06F8B">
        <w:t>be</w:t>
      </w:r>
      <w:r w:rsidR="000E4CF5">
        <w:t xml:space="preserve"> </w:t>
      </w:r>
      <w:r w:rsidRPr="00E06F8B">
        <w:t>confident</w:t>
      </w:r>
      <w:r w:rsidR="000E4CF5">
        <w:t xml:space="preserve"> </w:t>
      </w:r>
      <w:r w:rsidRPr="00E06F8B">
        <w:t>that</w:t>
      </w:r>
      <w:r w:rsidR="000E4CF5">
        <w:t xml:space="preserve"> </w:t>
      </w:r>
      <w:r w:rsidRPr="00E06F8B">
        <w:t>there</w:t>
      </w:r>
      <w:r w:rsidR="000E4CF5">
        <w:t xml:space="preserve"> </w:t>
      </w:r>
      <w:r w:rsidRPr="00E06F8B">
        <w:t>are</w:t>
      </w:r>
      <w:r w:rsidR="000E4CF5">
        <w:t xml:space="preserve"> </w:t>
      </w:r>
      <w:r w:rsidRPr="00E06F8B">
        <w:t>certain</w:t>
      </w:r>
      <w:r w:rsidR="000E4CF5">
        <w:t xml:space="preserve"> </w:t>
      </w:r>
      <w:r w:rsidRPr="00E06F8B">
        <w:t>minimum</w:t>
      </w:r>
      <w:r w:rsidR="000E4CF5">
        <w:t xml:space="preserve"> </w:t>
      </w:r>
      <w:r w:rsidRPr="00E06F8B">
        <w:t>requirements</w:t>
      </w:r>
      <w:r w:rsidR="000E4CF5">
        <w:t xml:space="preserve"> </w:t>
      </w:r>
      <w:r w:rsidRPr="00E06F8B">
        <w:t>that</w:t>
      </w:r>
      <w:r w:rsidR="000E4CF5">
        <w:t xml:space="preserve"> </w:t>
      </w:r>
      <w:r w:rsidRPr="00E06F8B">
        <w:t>are</w:t>
      </w:r>
      <w:r w:rsidR="000E4CF5">
        <w:t xml:space="preserve"> </w:t>
      </w:r>
      <w:r w:rsidRPr="00E06F8B">
        <w:t>met,</w:t>
      </w:r>
      <w:r w:rsidR="000E4CF5">
        <w:t xml:space="preserve"> </w:t>
      </w:r>
      <w:r w:rsidRPr="00E06F8B">
        <w:t>and</w:t>
      </w:r>
      <w:r w:rsidR="000E4CF5">
        <w:t xml:space="preserve"> </w:t>
      </w:r>
      <w:r w:rsidRPr="00E06F8B">
        <w:t>that</w:t>
      </w:r>
      <w:r w:rsidR="000E4CF5">
        <w:t xml:space="preserve"> </w:t>
      </w:r>
      <w:r w:rsidRPr="00E06F8B">
        <w:t>the</w:t>
      </w:r>
      <w:r w:rsidR="000E4CF5">
        <w:t xml:space="preserve"> </w:t>
      </w:r>
      <w:r w:rsidRPr="00E06F8B">
        <w:t>comparisons</w:t>
      </w:r>
      <w:r w:rsidR="000E4CF5">
        <w:t xml:space="preserve"> </w:t>
      </w:r>
      <w:r w:rsidRPr="00E06F8B">
        <w:t>of</w:t>
      </w:r>
      <w:r w:rsidR="000E4CF5">
        <w:t xml:space="preserve"> </w:t>
      </w:r>
      <w:r w:rsidRPr="00E06F8B">
        <w:t>the</w:t>
      </w:r>
      <w:r w:rsidR="000E4CF5">
        <w:t xml:space="preserve"> </w:t>
      </w:r>
      <w:r w:rsidRPr="00E06F8B">
        <w:t>groups</w:t>
      </w:r>
      <w:r w:rsidR="000E4CF5">
        <w:t xml:space="preserve"> </w:t>
      </w:r>
      <w:r w:rsidRPr="00E06F8B">
        <w:t>we</w:t>
      </w:r>
      <w:r w:rsidR="000E4CF5">
        <w:t xml:space="preserve"> </w:t>
      </w:r>
      <w:r w:rsidRPr="00E06F8B">
        <w:t>undertook</w:t>
      </w:r>
      <w:r w:rsidR="000E4CF5">
        <w:t xml:space="preserve"> </w:t>
      </w:r>
      <w:r w:rsidRPr="00E06F8B">
        <w:t>are</w:t>
      </w:r>
      <w:r w:rsidR="000E4CF5">
        <w:t xml:space="preserve"> </w:t>
      </w:r>
      <w:r w:rsidRPr="00E06F8B">
        <w:t>valid</w:t>
      </w:r>
      <w:r w:rsidR="000E4CF5">
        <w:t xml:space="preserve"> </w:t>
      </w:r>
      <w:r w:rsidRPr="00E06F8B">
        <w:t>based</w:t>
      </w:r>
      <w:r w:rsidR="000E4CF5">
        <w:t xml:space="preserve"> </w:t>
      </w:r>
      <w:r w:rsidRPr="00E06F8B">
        <w:t>on</w:t>
      </w:r>
      <w:r w:rsidR="000E4CF5">
        <w:t xml:space="preserve"> </w:t>
      </w:r>
      <w:r w:rsidRPr="00E06F8B">
        <w:t>such</w:t>
      </w:r>
      <w:r w:rsidR="000E4CF5">
        <w:t xml:space="preserve"> </w:t>
      </w:r>
      <w:r w:rsidRPr="00E06F8B">
        <w:t>minimum</w:t>
      </w:r>
      <w:r w:rsidR="000E4CF5">
        <w:t xml:space="preserve"> </w:t>
      </w:r>
      <w:r w:rsidRPr="00E06F8B">
        <w:t>specifications.</w:t>
      </w:r>
      <w:r w:rsidR="000E4CF5">
        <w:t xml:space="preserve"> </w:t>
      </w:r>
      <w:r w:rsidRPr="00E06F8B">
        <w:t>However,</w:t>
      </w:r>
      <w:r w:rsidR="000E4CF5">
        <w:t xml:space="preserve"> </w:t>
      </w:r>
      <w:r w:rsidRPr="00E06F8B">
        <w:t>there</w:t>
      </w:r>
      <w:r w:rsidR="000E4CF5">
        <w:t xml:space="preserve"> </w:t>
      </w:r>
      <w:r w:rsidRPr="00E06F8B">
        <w:t>is</w:t>
      </w:r>
      <w:r w:rsidR="000E4CF5">
        <w:t xml:space="preserve"> </w:t>
      </w:r>
      <w:r w:rsidRPr="00E06F8B">
        <w:t>always</w:t>
      </w:r>
      <w:r w:rsidR="000E4CF5">
        <w:t xml:space="preserve"> </w:t>
      </w:r>
      <w:r w:rsidRPr="00E06F8B">
        <w:t>the</w:t>
      </w:r>
      <w:r w:rsidR="000E4CF5">
        <w:t xml:space="preserve"> </w:t>
      </w:r>
      <w:r w:rsidRPr="00E06F8B">
        <w:t>possibility</w:t>
      </w:r>
      <w:r w:rsidR="000E4CF5">
        <w:t xml:space="preserve"> </w:t>
      </w:r>
      <w:r w:rsidRPr="00E06F8B">
        <w:t>that</w:t>
      </w:r>
      <w:r w:rsidR="000E4CF5">
        <w:t xml:space="preserve"> </w:t>
      </w:r>
      <w:r w:rsidRPr="00E06F8B">
        <w:t>even</w:t>
      </w:r>
      <w:r w:rsidR="000E4CF5">
        <w:t xml:space="preserve"> </w:t>
      </w:r>
      <w:r w:rsidRPr="00E06F8B">
        <w:t>if</w:t>
      </w:r>
      <w:r w:rsidR="000E4CF5">
        <w:t xml:space="preserve"> </w:t>
      </w:r>
      <w:r w:rsidRPr="00E06F8B">
        <w:t>the</w:t>
      </w:r>
      <w:r w:rsidR="000E4CF5">
        <w:t xml:space="preserve"> </w:t>
      </w:r>
      <w:r w:rsidRPr="00E06F8B">
        <w:t>teacher</w:t>
      </w:r>
      <w:r w:rsidR="000E4CF5">
        <w:t xml:space="preserve"> </w:t>
      </w:r>
      <w:r w:rsidRPr="00E06F8B">
        <w:t>was</w:t>
      </w:r>
      <w:r w:rsidR="000E4CF5">
        <w:t xml:space="preserve"> </w:t>
      </w:r>
      <w:r w:rsidRPr="00E06F8B">
        <w:t>not</w:t>
      </w:r>
      <w:r w:rsidR="000E4CF5">
        <w:t xml:space="preserve"> </w:t>
      </w:r>
      <w:r w:rsidRPr="00E06F8B">
        <w:t>a</w:t>
      </w:r>
      <w:r w:rsidR="000E4CF5">
        <w:t xml:space="preserve"> </w:t>
      </w:r>
      <w:r w:rsidRPr="00E06F8B">
        <w:t>science</w:t>
      </w:r>
      <w:r w:rsidR="000E4CF5">
        <w:t xml:space="preserve"> </w:t>
      </w:r>
      <w:r w:rsidRPr="00E06F8B">
        <w:t>major,</w:t>
      </w:r>
      <w:r w:rsidR="000E4CF5">
        <w:t xml:space="preserve"> </w:t>
      </w:r>
      <w:r w:rsidRPr="00E06F8B">
        <w:t>she</w:t>
      </w:r>
      <w:r w:rsidR="000E4CF5">
        <w:t xml:space="preserve"> </w:t>
      </w:r>
      <w:r w:rsidRPr="00E06F8B">
        <w:t>may</w:t>
      </w:r>
      <w:r w:rsidR="000E4CF5">
        <w:t xml:space="preserve"> </w:t>
      </w:r>
      <w:r w:rsidRPr="00E06F8B">
        <w:t>have</w:t>
      </w:r>
      <w:r w:rsidR="000E4CF5">
        <w:t xml:space="preserve"> </w:t>
      </w:r>
      <w:r w:rsidRPr="00E06F8B">
        <w:t>taken</w:t>
      </w:r>
      <w:r w:rsidR="000E4CF5">
        <w:t xml:space="preserve"> </w:t>
      </w:r>
      <w:r w:rsidRPr="00E06F8B">
        <w:t>more</w:t>
      </w:r>
      <w:r w:rsidR="000E4CF5">
        <w:t xml:space="preserve"> </w:t>
      </w:r>
      <w:r w:rsidRPr="00E06F8B">
        <w:t>science</w:t>
      </w:r>
      <w:r w:rsidR="000E4CF5">
        <w:t xml:space="preserve"> </w:t>
      </w:r>
      <w:r w:rsidRPr="00E06F8B">
        <w:t>courses</w:t>
      </w:r>
      <w:r w:rsidR="000E4CF5">
        <w:t xml:space="preserve"> </w:t>
      </w:r>
      <w:r w:rsidRPr="00E06F8B">
        <w:t>in</w:t>
      </w:r>
      <w:r w:rsidR="000E4CF5">
        <w:t xml:space="preserve"> </w:t>
      </w:r>
      <w:r w:rsidRPr="00E06F8B">
        <w:t>her</w:t>
      </w:r>
      <w:r w:rsidR="000E4CF5">
        <w:t xml:space="preserve"> </w:t>
      </w:r>
      <w:r w:rsidRPr="00E06F8B">
        <w:t>preservice</w:t>
      </w:r>
      <w:r w:rsidR="000E4CF5">
        <w:t xml:space="preserve"> </w:t>
      </w:r>
      <w:r w:rsidRPr="00E06F8B">
        <w:t>program</w:t>
      </w:r>
      <w:r w:rsidR="000E4CF5">
        <w:t xml:space="preserve"> </w:t>
      </w:r>
      <w:r w:rsidRPr="00E06F8B">
        <w:t>as</w:t>
      </w:r>
      <w:r w:rsidR="000E4CF5">
        <w:t xml:space="preserve"> </w:t>
      </w:r>
      <w:r w:rsidRPr="00E06F8B">
        <w:t>allowed</w:t>
      </w:r>
      <w:r w:rsidR="000E4CF5">
        <w:t xml:space="preserve"> </w:t>
      </w:r>
      <w:r w:rsidRPr="00E06F8B">
        <w:t>by</w:t>
      </w:r>
      <w:r w:rsidR="000E4CF5">
        <w:t xml:space="preserve"> </w:t>
      </w:r>
      <w:r w:rsidRPr="00E06F8B">
        <w:t>her</w:t>
      </w:r>
      <w:r w:rsidR="000E4CF5">
        <w:t xml:space="preserve"> </w:t>
      </w:r>
      <w:r w:rsidRPr="00E06F8B">
        <w:t>school,</w:t>
      </w:r>
      <w:r w:rsidR="000E4CF5">
        <w:t xml:space="preserve"> </w:t>
      </w:r>
      <w:r w:rsidRPr="00E06F8B">
        <w:t>or</w:t>
      </w:r>
      <w:r w:rsidR="000E4CF5">
        <w:t xml:space="preserve"> </w:t>
      </w:r>
      <w:r w:rsidRPr="00E06F8B">
        <w:t>that</w:t>
      </w:r>
      <w:r w:rsidR="000E4CF5">
        <w:t xml:space="preserve"> </w:t>
      </w:r>
      <w:r w:rsidRPr="00E06F8B">
        <w:t>the</w:t>
      </w:r>
      <w:r w:rsidR="000E4CF5">
        <w:t xml:space="preserve"> </w:t>
      </w:r>
      <w:r w:rsidRPr="00E06F8B">
        <w:t>primary</w:t>
      </w:r>
      <w:r w:rsidR="000E4CF5">
        <w:t xml:space="preserve"> </w:t>
      </w:r>
      <w:r w:rsidRPr="00E06F8B">
        <w:t>school</w:t>
      </w:r>
      <w:r w:rsidR="000E4CF5">
        <w:t xml:space="preserve"> </w:t>
      </w:r>
      <w:r w:rsidRPr="00E06F8B">
        <w:t>teacher</w:t>
      </w:r>
      <w:r w:rsidR="000E4CF5">
        <w:t xml:space="preserve"> </w:t>
      </w:r>
      <w:r w:rsidRPr="00E06F8B">
        <w:t>actually</w:t>
      </w:r>
      <w:r w:rsidR="000E4CF5">
        <w:t xml:space="preserve"> </w:t>
      </w:r>
      <w:r w:rsidRPr="00E06F8B">
        <w:t>graduated</w:t>
      </w:r>
      <w:r w:rsidR="000E4CF5">
        <w:t xml:space="preserve"> </w:t>
      </w:r>
      <w:r w:rsidRPr="00E06F8B">
        <w:t>from</w:t>
      </w:r>
      <w:r w:rsidR="000E4CF5">
        <w:t xml:space="preserve"> </w:t>
      </w:r>
      <w:r w:rsidRPr="00E06F8B">
        <w:t>the</w:t>
      </w:r>
      <w:r w:rsidR="000E4CF5">
        <w:t xml:space="preserve"> </w:t>
      </w:r>
      <w:r w:rsidRPr="00E06F8B">
        <w:t>curriculum</w:t>
      </w:r>
      <w:r w:rsidR="000E4CF5">
        <w:t xml:space="preserve"> </w:t>
      </w:r>
      <w:r w:rsidRPr="00E06F8B">
        <w:t>for</w:t>
      </w:r>
      <w:r w:rsidR="000E4CF5">
        <w:t xml:space="preserve"> </w:t>
      </w:r>
      <w:r w:rsidRPr="00E06F8B">
        <w:t>secondary</w:t>
      </w:r>
      <w:r w:rsidR="000E4CF5">
        <w:t xml:space="preserve"> </w:t>
      </w:r>
      <w:r w:rsidRPr="00E06F8B">
        <w:t>school</w:t>
      </w:r>
      <w:r w:rsidR="000E4CF5">
        <w:t xml:space="preserve"> </w:t>
      </w:r>
      <w:r w:rsidRPr="00E06F8B">
        <w:t>teachers.</w:t>
      </w:r>
      <w:r w:rsidR="000E4CF5">
        <w:t xml:space="preserve"> </w:t>
      </w:r>
      <w:r w:rsidRPr="00E06F8B">
        <w:t>Although</w:t>
      </w:r>
      <w:r w:rsidR="000E4CF5">
        <w:t xml:space="preserve"> </w:t>
      </w:r>
      <w:r w:rsidRPr="00E06F8B">
        <w:t>we</w:t>
      </w:r>
      <w:r w:rsidR="000E4CF5">
        <w:t xml:space="preserve"> </w:t>
      </w:r>
      <w:r w:rsidRPr="00E06F8B">
        <w:t>cannot</w:t>
      </w:r>
      <w:r w:rsidR="000E4CF5">
        <w:t xml:space="preserve"> </w:t>
      </w:r>
      <w:r w:rsidRPr="00E06F8B">
        <w:t>rule</w:t>
      </w:r>
      <w:r w:rsidR="000E4CF5">
        <w:t xml:space="preserve"> </w:t>
      </w:r>
      <w:r w:rsidRPr="00E06F8B">
        <w:t>out</w:t>
      </w:r>
      <w:r w:rsidR="000E4CF5">
        <w:t xml:space="preserve"> </w:t>
      </w:r>
      <w:r w:rsidRPr="00E06F8B">
        <w:t>these</w:t>
      </w:r>
      <w:r w:rsidR="000E4CF5">
        <w:t xml:space="preserve"> </w:t>
      </w:r>
      <w:r w:rsidRPr="00E06F8B">
        <w:t>possibil</w:t>
      </w:r>
      <w:r w:rsidRPr="00E06F8B">
        <w:t>i</w:t>
      </w:r>
      <w:r w:rsidRPr="00E06F8B">
        <w:t>ties,</w:t>
      </w:r>
      <w:r w:rsidR="000E4CF5">
        <w:t xml:space="preserve"> </w:t>
      </w:r>
      <w:r w:rsidRPr="00E06F8B">
        <w:t>the</w:t>
      </w:r>
      <w:r w:rsidR="000E4CF5">
        <w:t xml:space="preserve"> </w:t>
      </w:r>
      <w:r w:rsidRPr="00E06F8B">
        <w:t>likelihood</w:t>
      </w:r>
      <w:r w:rsidR="000E4CF5">
        <w:t xml:space="preserve"> </w:t>
      </w:r>
      <w:r w:rsidRPr="00E06F8B">
        <w:t>that</w:t>
      </w:r>
      <w:r w:rsidR="000E4CF5">
        <w:t xml:space="preserve"> </w:t>
      </w:r>
      <w:r w:rsidRPr="00E06F8B">
        <w:t>they</w:t>
      </w:r>
      <w:r w:rsidR="000E4CF5">
        <w:t xml:space="preserve"> </w:t>
      </w:r>
      <w:r w:rsidRPr="00E06F8B">
        <w:t>happened</w:t>
      </w:r>
      <w:r w:rsidR="000E4CF5">
        <w:t xml:space="preserve"> </w:t>
      </w:r>
      <w:r w:rsidRPr="00E06F8B">
        <w:t>is</w:t>
      </w:r>
      <w:r w:rsidR="000E4CF5">
        <w:t xml:space="preserve"> </w:t>
      </w:r>
      <w:r w:rsidRPr="00E06F8B">
        <w:t>small,</w:t>
      </w:r>
      <w:r w:rsidR="000E4CF5">
        <w:t xml:space="preserve"> </w:t>
      </w:r>
      <w:r w:rsidRPr="00E06F8B">
        <w:t>given</w:t>
      </w:r>
      <w:r w:rsidR="000E4CF5">
        <w:t xml:space="preserve"> </w:t>
      </w:r>
      <w:r w:rsidRPr="00E06F8B">
        <w:t>how</w:t>
      </w:r>
      <w:r w:rsidR="000E4CF5">
        <w:t xml:space="preserve"> </w:t>
      </w:r>
      <w:r w:rsidRPr="00E06F8B">
        <w:t>strictly</w:t>
      </w:r>
      <w:r w:rsidR="000E4CF5">
        <w:t xml:space="preserve"> </w:t>
      </w:r>
      <w:r w:rsidRPr="00E06F8B">
        <w:t>regula</w:t>
      </w:r>
      <w:r w:rsidRPr="00E06F8B">
        <w:t>t</w:t>
      </w:r>
      <w:r w:rsidRPr="00E06F8B">
        <w:t>ed</w:t>
      </w:r>
      <w:r w:rsidR="000E4CF5">
        <w:t xml:space="preserve"> </w:t>
      </w:r>
      <w:r w:rsidRPr="00E06F8B">
        <w:t>the</w:t>
      </w:r>
      <w:r w:rsidR="000E4CF5">
        <w:t xml:space="preserve"> </w:t>
      </w:r>
      <w:r w:rsidRPr="00E06F8B">
        <w:t>curriculum</w:t>
      </w:r>
      <w:r w:rsidR="000E4CF5">
        <w:t xml:space="preserve"> </w:t>
      </w:r>
      <w:r w:rsidRPr="00E06F8B">
        <w:t>is</w:t>
      </w:r>
      <w:r w:rsidR="000E4CF5">
        <w:t xml:space="preserve"> </w:t>
      </w:r>
      <w:r w:rsidRPr="00E06F8B">
        <w:t>in</w:t>
      </w:r>
      <w:r w:rsidR="000E4CF5">
        <w:t xml:space="preserve"> </w:t>
      </w:r>
      <w:r w:rsidRPr="00E06F8B">
        <w:t>the</w:t>
      </w:r>
      <w:r w:rsidR="000E4CF5">
        <w:t xml:space="preserve"> </w:t>
      </w:r>
      <w:r w:rsidRPr="00E06F8B">
        <w:t>Philippines.</w:t>
      </w:r>
      <w:r w:rsidR="000E4CF5">
        <w:t xml:space="preserve"> </w:t>
      </w:r>
    </w:p>
    <w:p w14:paraId="150A59C2" w14:textId="77777777" w:rsidR="007D04A1" w:rsidRPr="00E06F8B" w:rsidRDefault="007D04A1" w:rsidP="00905E05">
      <w:pPr>
        <w:pStyle w:val="BodyTextFirstIndent"/>
      </w:pPr>
      <w:r w:rsidRPr="00E06F8B">
        <w:t>These</w:t>
      </w:r>
      <w:r w:rsidR="000E4CF5">
        <w:t xml:space="preserve"> </w:t>
      </w:r>
      <w:r w:rsidRPr="00E06F8B">
        <w:t>limitations</w:t>
      </w:r>
      <w:r w:rsidR="000E4CF5">
        <w:t xml:space="preserve"> </w:t>
      </w:r>
      <w:r w:rsidRPr="00E06F8B">
        <w:t>notwithstanding,</w:t>
      </w:r>
      <w:r w:rsidR="000E4CF5">
        <w:t xml:space="preserve"> </w:t>
      </w:r>
      <w:r w:rsidRPr="00E06F8B">
        <w:t>we</w:t>
      </w:r>
      <w:r w:rsidR="000E4CF5">
        <w:t xml:space="preserve"> </w:t>
      </w:r>
      <w:r w:rsidRPr="00E06F8B">
        <w:t>believe</w:t>
      </w:r>
      <w:r w:rsidR="000E4CF5">
        <w:t xml:space="preserve"> </w:t>
      </w:r>
      <w:r w:rsidRPr="00E06F8B">
        <w:t>that</w:t>
      </w:r>
      <w:r w:rsidR="000E4CF5">
        <w:t xml:space="preserve"> </w:t>
      </w:r>
      <w:r w:rsidRPr="00E06F8B">
        <w:t>our</w:t>
      </w:r>
      <w:r w:rsidR="000E4CF5">
        <w:t xml:space="preserve"> </w:t>
      </w:r>
      <w:r w:rsidRPr="00E06F8B">
        <w:t>findings</w:t>
      </w:r>
      <w:r w:rsidR="000E4CF5">
        <w:t xml:space="preserve"> </w:t>
      </w:r>
      <w:r w:rsidRPr="00E06F8B">
        <w:t>a</w:t>
      </w:r>
      <w:r w:rsidRPr="00E06F8B">
        <w:t>d</w:t>
      </w:r>
      <w:r w:rsidRPr="00E06F8B">
        <w:t>dress</w:t>
      </w:r>
      <w:r w:rsidR="000E4CF5">
        <w:t xml:space="preserve"> </w:t>
      </w:r>
      <w:r w:rsidRPr="00E06F8B">
        <w:t>an</w:t>
      </w:r>
      <w:r w:rsidR="000E4CF5">
        <w:t xml:space="preserve"> </w:t>
      </w:r>
      <w:r w:rsidRPr="00E06F8B">
        <w:t>important</w:t>
      </w:r>
      <w:r w:rsidR="000E4CF5">
        <w:t xml:space="preserve"> </w:t>
      </w:r>
      <w:r w:rsidRPr="00E06F8B">
        <w:t>facet</w:t>
      </w:r>
      <w:r w:rsidR="000E4CF5">
        <w:t xml:space="preserve"> </w:t>
      </w:r>
      <w:r w:rsidRPr="00E06F8B">
        <w:t>of</w:t>
      </w:r>
      <w:r w:rsidR="000E4CF5">
        <w:t xml:space="preserve"> </w:t>
      </w:r>
      <w:r w:rsidRPr="00E06F8B">
        <w:t>discussion</w:t>
      </w:r>
      <w:r w:rsidR="000E4CF5">
        <w:t xml:space="preserve"> </w:t>
      </w:r>
      <w:r w:rsidRPr="00E06F8B">
        <w:t>on</w:t>
      </w:r>
      <w:r w:rsidR="000E4CF5">
        <w:t xml:space="preserve"> </w:t>
      </w:r>
      <w:r w:rsidRPr="00E06F8B">
        <w:t>science</w:t>
      </w:r>
      <w:r w:rsidR="000E4CF5">
        <w:t xml:space="preserve"> </w:t>
      </w:r>
      <w:r w:rsidRPr="00E06F8B">
        <w:t>teacher</w:t>
      </w:r>
      <w:r w:rsidR="000E4CF5">
        <w:t xml:space="preserve"> </w:t>
      </w:r>
      <w:r w:rsidRPr="00E06F8B">
        <w:t>education</w:t>
      </w:r>
      <w:r w:rsidR="000E4CF5">
        <w:t xml:space="preserve"> </w:t>
      </w:r>
      <w:r w:rsidRPr="00E06F8B">
        <w:t>in</w:t>
      </w:r>
      <w:r w:rsidR="000E4CF5">
        <w:t xml:space="preserve"> </w:t>
      </w:r>
      <w:r w:rsidRPr="00E06F8B">
        <w:t>the</w:t>
      </w:r>
      <w:r w:rsidR="000E4CF5">
        <w:t xml:space="preserve"> </w:t>
      </w:r>
      <w:r w:rsidRPr="00E06F8B">
        <w:t>Philippines.</w:t>
      </w:r>
      <w:r w:rsidR="000E4CF5">
        <w:t xml:space="preserve"> </w:t>
      </w:r>
      <w:r w:rsidRPr="00E06F8B">
        <w:t>Even</w:t>
      </w:r>
      <w:r w:rsidR="000E4CF5">
        <w:t xml:space="preserve"> </w:t>
      </w:r>
      <w:r w:rsidRPr="00E06F8B">
        <w:t>as</w:t>
      </w:r>
      <w:r w:rsidR="000E4CF5">
        <w:t xml:space="preserve"> </w:t>
      </w:r>
      <w:r w:rsidRPr="00E06F8B">
        <w:t>the</w:t>
      </w:r>
      <w:r w:rsidR="000E4CF5">
        <w:t xml:space="preserve"> </w:t>
      </w:r>
      <w:r w:rsidRPr="00E06F8B">
        <w:t>national</w:t>
      </w:r>
      <w:r w:rsidR="000E4CF5">
        <w:t xml:space="preserve"> </w:t>
      </w:r>
      <w:r w:rsidRPr="00E06F8B">
        <w:t>government</w:t>
      </w:r>
      <w:r w:rsidR="000E4CF5">
        <w:t xml:space="preserve"> </w:t>
      </w:r>
      <w:r w:rsidRPr="00E06F8B">
        <w:t>has</w:t>
      </w:r>
      <w:r w:rsidR="000E4CF5">
        <w:t xml:space="preserve"> </w:t>
      </w:r>
      <w:r w:rsidRPr="00E06F8B">
        <w:t>moved</w:t>
      </w:r>
      <w:r w:rsidR="000E4CF5">
        <w:t xml:space="preserve"> </w:t>
      </w:r>
      <w:r w:rsidRPr="00E06F8B">
        <w:t>to</w:t>
      </w:r>
      <w:r w:rsidR="000E4CF5">
        <w:t xml:space="preserve"> </w:t>
      </w:r>
      <w:r w:rsidRPr="00E06F8B">
        <w:t>increase</w:t>
      </w:r>
      <w:r w:rsidR="000E4CF5">
        <w:t xml:space="preserve"> </w:t>
      </w:r>
      <w:r w:rsidRPr="00E06F8B">
        <w:t>the</w:t>
      </w:r>
      <w:r w:rsidR="000E4CF5">
        <w:t xml:space="preserve"> </w:t>
      </w:r>
      <w:r w:rsidRPr="00E06F8B">
        <w:t>science</w:t>
      </w:r>
      <w:r w:rsidR="000E4CF5">
        <w:t xml:space="preserve"> </w:t>
      </w:r>
      <w:r w:rsidRPr="00E06F8B">
        <w:t>coursework</w:t>
      </w:r>
      <w:r w:rsidR="000E4CF5">
        <w:t xml:space="preserve"> </w:t>
      </w:r>
      <w:r w:rsidRPr="00E06F8B">
        <w:t>for</w:t>
      </w:r>
      <w:r w:rsidR="000E4CF5">
        <w:t xml:space="preserve"> </w:t>
      </w:r>
      <w:r w:rsidRPr="00E06F8B">
        <w:t>science</w:t>
      </w:r>
      <w:r w:rsidR="000E4CF5">
        <w:t xml:space="preserve"> </w:t>
      </w:r>
      <w:r w:rsidRPr="00E06F8B">
        <w:t>education</w:t>
      </w:r>
      <w:r w:rsidR="000E4CF5">
        <w:t xml:space="preserve"> </w:t>
      </w:r>
      <w:r w:rsidRPr="00E06F8B">
        <w:t>teachers,</w:t>
      </w:r>
      <w:r w:rsidR="000E4CF5">
        <w:t xml:space="preserve"> </w:t>
      </w:r>
      <w:r w:rsidRPr="00E06F8B">
        <w:t>there</w:t>
      </w:r>
      <w:r w:rsidR="000E4CF5">
        <w:t xml:space="preserve"> </w:t>
      </w:r>
      <w:r w:rsidRPr="00E06F8B">
        <w:t>is</w:t>
      </w:r>
      <w:r w:rsidR="000E4CF5">
        <w:t xml:space="preserve"> </w:t>
      </w:r>
      <w:r w:rsidRPr="00E06F8B">
        <w:t>still</w:t>
      </w:r>
      <w:r w:rsidR="000E4CF5">
        <w:t xml:space="preserve"> </w:t>
      </w:r>
      <w:r w:rsidRPr="00E06F8B">
        <w:t>resistance</w:t>
      </w:r>
      <w:r w:rsidR="000E4CF5">
        <w:t xml:space="preserve"> </w:t>
      </w:r>
      <w:r w:rsidRPr="00E06F8B">
        <w:t>among</w:t>
      </w:r>
      <w:r w:rsidR="000E4CF5">
        <w:t xml:space="preserve"> </w:t>
      </w:r>
      <w:r w:rsidRPr="00E06F8B">
        <w:t>many</w:t>
      </w:r>
      <w:r w:rsidR="000E4CF5">
        <w:t xml:space="preserve"> </w:t>
      </w:r>
      <w:r w:rsidRPr="00E06F8B">
        <w:t>sectors.</w:t>
      </w:r>
      <w:r w:rsidR="000E4CF5">
        <w:t xml:space="preserve"> </w:t>
      </w:r>
      <w:r w:rsidRPr="00E06F8B">
        <w:t>The</w:t>
      </w:r>
      <w:r w:rsidR="000E4CF5">
        <w:t xml:space="preserve"> </w:t>
      </w:r>
      <w:r w:rsidRPr="00E06F8B">
        <w:t>argument</w:t>
      </w:r>
      <w:r w:rsidR="000E4CF5">
        <w:t xml:space="preserve"> </w:t>
      </w:r>
      <w:r w:rsidRPr="00E06F8B">
        <w:t>against</w:t>
      </w:r>
      <w:r w:rsidR="000E4CF5">
        <w:t xml:space="preserve"> </w:t>
      </w:r>
      <w:r w:rsidRPr="00E06F8B">
        <w:t>the</w:t>
      </w:r>
      <w:r w:rsidR="000E4CF5">
        <w:t xml:space="preserve"> </w:t>
      </w:r>
      <w:r w:rsidRPr="00E06F8B">
        <w:t>move</w:t>
      </w:r>
      <w:r w:rsidR="000E4CF5">
        <w:t xml:space="preserve"> </w:t>
      </w:r>
      <w:r w:rsidRPr="00E06F8B">
        <w:t>is</w:t>
      </w:r>
      <w:r w:rsidR="000E4CF5">
        <w:t xml:space="preserve"> </w:t>
      </w:r>
      <w:r w:rsidRPr="00E06F8B">
        <w:t>that</w:t>
      </w:r>
      <w:r w:rsidR="000E4CF5">
        <w:t xml:space="preserve"> </w:t>
      </w:r>
      <w:r w:rsidRPr="00E06F8B">
        <w:t>the</w:t>
      </w:r>
      <w:r w:rsidR="000E4CF5">
        <w:t xml:space="preserve"> </w:t>
      </w:r>
      <w:r w:rsidRPr="00E06F8B">
        <w:t>teachers</w:t>
      </w:r>
      <w:r w:rsidR="000E4CF5">
        <w:t xml:space="preserve"> </w:t>
      </w:r>
      <w:r w:rsidRPr="00E06F8B">
        <w:t>do</w:t>
      </w:r>
      <w:r w:rsidR="000E4CF5">
        <w:t xml:space="preserve"> </w:t>
      </w:r>
      <w:r w:rsidRPr="00E06F8B">
        <w:t>not</w:t>
      </w:r>
      <w:r w:rsidR="000E4CF5">
        <w:t xml:space="preserve"> </w:t>
      </w:r>
      <w:r w:rsidRPr="00E06F8B">
        <w:t>need</w:t>
      </w:r>
      <w:r w:rsidR="000E4CF5">
        <w:t xml:space="preserve"> </w:t>
      </w:r>
      <w:r w:rsidRPr="00E06F8B">
        <w:t>to</w:t>
      </w:r>
      <w:r w:rsidR="000E4CF5">
        <w:t xml:space="preserve"> </w:t>
      </w:r>
      <w:r w:rsidRPr="00E06F8B">
        <w:t>know</w:t>
      </w:r>
      <w:r w:rsidR="000E4CF5">
        <w:t xml:space="preserve"> </w:t>
      </w:r>
      <w:r w:rsidRPr="00E06F8B">
        <w:t>a</w:t>
      </w:r>
      <w:r w:rsidR="000E4CF5">
        <w:t xml:space="preserve"> </w:t>
      </w:r>
      <w:r w:rsidRPr="00E06F8B">
        <w:t>lot</w:t>
      </w:r>
      <w:r w:rsidR="000E4CF5">
        <w:t xml:space="preserve"> </w:t>
      </w:r>
      <w:r w:rsidRPr="00E06F8B">
        <w:t>of</w:t>
      </w:r>
      <w:r w:rsidR="000E4CF5">
        <w:t xml:space="preserve"> </w:t>
      </w:r>
      <w:r w:rsidRPr="00E06F8B">
        <w:t>advanced</w:t>
      </w:r>
      <w:r w:rsidR="000E4CF5">
        <w:t xml:space="preserve"> </w:t>
      </w:r>
      <w:r w:rsidRPr="00E06F8B">
        <w:t>science</w:t>
      </w:r>
      <w:r w:rsidR="000E4CF5">
        <w:t xml:space="preserve"> </w:t>
      </w:r>
      <w:r w:rsidRPr="00E06F8B">
        <w:t>content</w:t>
      </w:r>
      <w:r w:rsidR="000E4CF5">
        <w:t xml:space="preserve"> </w:t>
      </w:r>
      <w:r w:rsidRPr="00E06F8B">
        <w:t>to</w:t>
      </w:r>
      <w:r w:rsidR="000E4CF5">
        <w:t xml:space="preserve"> </w:t>
      </w:r>
      <w:r w:rsidRPr="00E06F8B">
        <w:t>teach</w:t>
      </w:r>
      <w:r w:rsidR="000E4CF5">
        <w:t xml:space="preserve"> </w:t>
      </w:r>
      <w:r w:rsidRPr="00E06F8B">
        <w:t>the</w:t>
      </w:r>
      <w:r w:rsidR="000E4CF5">
        <w:t xml:space="preserve"> </w:t>
      </w:r>
      <w:r w:rsidRPr="00E06F8B">
        <w:t>science</w:t>
      </w:r>
      <w:r w:rsidR="000E4CF5">
        <w:t xml:space="preserve"> </w:t>
      </w:r>
      <w:r w:rsidRPr="00E06F8B">
        <w:t>curriculum</w:t>
      </w:r>
      <w:r w:rsidR="000E4CF5">
        <w:t xml:space="preserve"> </w:t>
      </w:r>
      <w:r w:rsidRPr="00E06F8B">
        <w:t>(e.g.,</w:t>
      </w:r>
      <w:r w:rsidR="000E4CF5">
        <w:t xml:space="preserve"> </w:t>
      </w:r>
      <w:r w:rsidRPr="00E06F8B">
        <w:t>primary</w:t>
      </w:r>
      <w:r w:rsidR="000E4CF5">
        <w:t xml:space="preserve"> </w:t>
      </w:r>
      <w:r w:rsidRPr="00E06F8B">
        <w:t>school</w:t>
      </w:r>
      <w:r w:rsidR="000E4CF5">
        <w:t xml:space="preserve"> </w:t>
      </w:r>
      <w:r w:rsidRPr="00E06F8B">
        <w:t>science</w:t>
      </w:r>
      <w:r w:rsidR="000E4CF5">
        <w:t xml:space="preserve"> </w:t>
      </w:r>
      <w:r w:rsidRPr="00E06F8B">
        <w:t>teachers</w:t>
      </w:r>
      <w:r w:rsidR="000E4CF5">
        <w:t xml:space="preserve"> </w:t>
      </w:r>
      <w:r w:rsidRPr="00E06F8B">
        <w:t>do</w:t>
      </w:r>
      <w:r w:rsidR="000E4CF5">
        <w:t xml:space="preserve"> </w:t>
      </w:r>
      <w:r w:rsidRPr="00E06F8B">
        <w:t>not</w:t>
      </w:r>
      <w:r w:rsidR="000E4CF5">
        <w:t xml:space="preserve"> </w:t>
      </w:r>
      <w:r w:rsidRPr="00E06F8B">
        <w:t>teach</w:t>
      </w:r>
      <w:r w:rsidR="000E4CF5">
        <w:t xml:space="preserve"> </w:t>
      </w:r>
      <w:r w:rsidRPr="00E06F8B">
        <w:t>physics</w:t>
      </w:r>
      <w:r w:rsidR="000E4CF5">
        <w:t xml:space="preserve"> </w:t>
      </w:r>
      <w:r w:rsidRPr="00E06F8B">
        <w:lastRenderedPageBreak/>
        <w:t>anyway,</w:t>
      </w:r>
      <w:r w:rsidR="000E4CF5">
        <w:t xml:space="preserve"> </w:t>
      </w:r>
      <w:r w:rsidRPr="00E06F8B">
        <w:t>so</w:t>
      </w:r>
      <w:r w:rsidR="000E4CF5">
        <w:t xml:space="preserve"> </w:t>
      </w:r>
      <w:r w:rsidRPr="00E06F8B">
        <w:t>why</w:t>
      </w:r>
      <w:r w:rsidR="000E4CF5">
        <w:t xml:space="preserve"> </w:t>
      </w:r>
      <w:r w:rsidRPr="00E06F8B">
        <w:t>should</w:t>
      </w:r>
      <w:r w:rsidR="000E4CF5">
        <w:t xml:space="preserve"> </w:t>
      </w:r>
      <w:r w:rsidRPr="00E06F8B">
        <w:t>they</w:t>
      </w:r>
      <w:r w:rsidR="000E4CF5">
        <w:t xml:space="preserve"> </w:t>
      </w:r>
      <w:r w:rsidRPr="00E06F8B">
        <w:t>be</w:t>
      </w:r>
      <w:r w:rsidR="000E4CF5">
        <w:t xml:space="preserve"> </w:t>
      </w:r>
      <w:r w:rsidRPr="00E06F8B">
        <w:t>required</w:t>
      </w:r>
      <w:r w:rsidR="000E4CF5">
        <w:t xml:space="preserve"> </w:t>
      </w:r>
      <w:r w:rsidRPr="00E06F8B">
        <w:t>to</w:t>
      </w:r>
      <w:r w:rsidR="000E4CF5">
        <w:t xml:space="preserve"> </w:t>
      </w:r>
      <w:r w:rsidRPr="00E06F8B">
        <w:t>take</w:t>
      </w:r>
      <w:r w:rsidR="000E4CF5">
        <w:t xml:space="preserve"> </w:t>
      </w:r>
      <w:r w:rsidRPr="00E06F8B">
        <w:t>physics</w:t>
      </w:r>
      <w:r w:rsidR="000E4CF5">
        <w:t xml:space="preserve"> </w:t>
      </w:r>
      <w:r w:rsidRPr="00E06F8B">
        <w:t>subjects).</w:t>
      </w:r>
      <w:r w:rsidR="000E4CF5">
        <w:t xml:space="preserve"> </w:t>
      </w:r>
      <w:r w:rsidRPr="00E06F8B">
        <w:t>Our</w:t>
      </w:r>
      <w:r w:rsidR="000E4CF5">
        <w:t xml:space="preserve"> </w:t>
      </w:r>
      <w:r w:rsidRPr="00E06F8B">
        <w:t>initial</w:t>
      </w:r>
      <w:r w:rsidR="000E4CF5">
        <w:t xml:space="preserve"> </w:t>
      </w:r>
      <w:r w:rsidRPr="00E06F8B">
        <w:t>findings</w:t>
      </w:r>
      <w:r w:rsidR="000E4CF5">
        <w:t xml:space="preserve"> </w:t>
      </w:r>
      <w:r w:rsidRPr="00E06F8B">
        <w:t>suggest</w:t>
      </w:r>
      <w:r w:rsidR="000E4CF5">
        <w:t xml:space="preserve"> </w:t>
      </w:r>
      <w:r w:rsidRPr="00E06F8B">
        <w:t>that</w:t>
      </w:r>
      <w:r w:rsidR="000E4CF5">
        <w:t xml:space="preserve"> </w:t>
      </w:r>
      <w:r w:rsidRPr="00E06F8B">
        <w:t>the</w:t>
      </w:r>
      <w:r w:rsidR="000E4CF5">
        <w:t xml:space="preserve"> </w:t>
      </w:r>
      <w:r w:rsidRPr="00E06F8B">
        <w:t>increased</w:t>
      </w:r>
      <w:r w:rsidR="000E4CF5">
        <w:t xml:space="preserve"> </w:t>
      </w:r>
      <w:r w:rsidRPr="00E06F8B">
        <w:t>coursework</w:t>
      </w:r>
      <w:r w:rsidR="000E4CF5">
        <w:t xml:space="preserve"> </w:t>
      </w:r>
      <w:r w:rsidRPr="00E06F8B">
        <w:t>in</w:t>
      </w:r>
      <w:r w:rsidR="000E4CF5">
        <w:t xml:space="preserve"> </w:t>
      </w:r>
      <w:r w:rsidRPr="00E06F8B">
        <w:t>science</w:t>
      </w:r>
      <w:r w:rsidR="000E4CF5">
        <w:t xml:space="preserve"> </w:t>
      </w:r>
      <w:r w:rsidRPr="00E06F8B">
        <w:t>helps</w:t>
      </w:r>
      <w:r w:rsidR="000E4CF5">
        <w:t xml:space="preserve"> </w:t>
      </w:r>
      <w:r w:rsidRPr="00E06F8B">
        <w:t>in</w:t>
      </w:r>
      <w:r w:rsidR="000E4CF5">
        <w:t xml:space="preserve"> </w:t>
      </w:r>
      <w:r w:rsidRPr="00E06F8B">
        <w:t>science</w:t>
      </w:r>
      <w:r w:rsidR="000E4CF5">
        <w:t xml:space="preserve"> </w:t>
      </w:r>
      <w:r w:rsidRPr="00E06F8B">
        <w:t>teaching</w:t>
      </w:r>
      <w:r w:rsidR="000E4CF5">
        <w:t xml:space="preserve"> </w:t>
      </w:r>
      <w:r w:rsidRPr="00E06F8B">
        <w:t>not</w:t>
      </w:r>
      <w:r w:rsidR="000E4CF5">
        <w:t xml:space="preserve"> </w:t>
      </w:r>
      <w:r w:rsidRPr="00E06F8B">
        <w:t>only</w:t>
      </w:r>
      <w:r w:rsidR="000E4CF5">
        <w:t xml:space="preserve"> </w:t>
      </w:r>
      <w:r w:rsidRPr="00E06F8B">
        <w:t>in</w:t>
      </w:r>
      <w:r w:rsidR="000E4CF5">
        <w:t xml:space="preserve"> </w:t>
      </w:r>
      <w:r w:rsidRPr="00E06F8B">
        <w:t>terms</w:t>
      </w:r>
      <w:r w:rsidR="000E4CF5">
        <w:t xml:space="preserve"> </w:t>
      </w:r>
      <w:r w:rsidRPr="00E06F8B">
        <w:t>of</w:t>
      </w:r>
      <w:r w:rsidR="000E4CF5">
        <w:t xml:space="preserve"> </w:t>
      </w:r>
      <w:r w:rsidRPr="00E06F8B">
        <w:t>ensuring</w:t>
      </w:r>
      <w:r w:rsidR="000E4CF5">
        <w:t xml:space="preserve"> </w:t>
      </w:r>
      <w:r w:rsidRPr="00E06F8B">
        <w:t>content</w:t>
      </w:r>
      <w:r w:rsidR="000E4CF5">
        <w:t xml:space="preserve"> </w:t>
      </w:r>
      <w:r w:rsidRPr="00E06F8B">
        <w:t>knowledge;</w:t>
      </w:r>
      <w:r w:rsidR="000E4CF5">
        <w:t xml:space="preserve"> </w:t>
      </w:r>
      <w:r w:rsidRPr="00E06F8B">
        <w:t>i</w:t>
      </w:r>
      <w:r w:rsidRPr="00E06F8B">
        <w:t>n</w:t>
      </w:r>
      <w:r w:rsidRPr="00E06F8B">
        <w:t>creased</w:t>
      </w:r>
      <w:r w:rsidR="000E4CF5">
        <w:t xml:space="preserve"> </w:t>
      </w:r>
      <w:r w:rsidRPr="00E06F8B">
        <w:t>coursework</w:t>
      </w:r>
      <w:r w:rsidR="000E4CF5">
        <w:t xml:space="preserve"> </w:t>
      </w:r>
      <w:r w:rsidRPr="00E06F8B">
        <w:t>could</w:t>
      </w:r>
      <w:r w:rsidR="000E4CF5">
        <w:t xml:space="preserve"> </w:t>
      </w:r>
      <w:r w:rsidRPr="00E06F8B">
        <w:t>actually</w:t>
      </w:r>
      <w:r w:rsidR="000E4CF5">
        <w:t xml:space="preserve"> </w:t>
      </w:r>
      <w:r w:rsidRPr="00E06F8B">
        <w:t>foster</w:t>
      </w:r>
      <w:r w:rsidR="000E4CF5">
        <w:t xml:space="preserve"> </w:t>
      </w:r>
      <w:r w:rsidRPr="00E06F8B">
        <w:t>beliefs</w:t>
      </w:r>
      <w:r w:rsidR="000E4CF5">
        <w:t xml:space="preserve"> </w:t>
      </w:r>
      <w:r w:rsidRPr="00E06F8B">
        <w:t>about</w:t>
      </w:r>
      <w:r w:rsidR="000E4CF5">
        <w:t xml:space="preserve"> </w:t>
      </w:r>
      <w:r w:rsidRPr="00E06F8B">
        <w:t>science</w:t>
      </w:r>
      <w:r w:rsidR="000E4CF5">
        <w:t xml:space="preserve"> </w:t>
      </w:r>
      <w:r w:rsidRPr="00E06F8B">
        <w:t>teaching</w:t>
      </w:r>
      <w:r w:rsidR="000E4CF5">
        <w:t xml:space="preserve"> </w:t>
      </w:r>
      <w:r w:rsidRPr="00E06F8B">
        <w:t>and</w:t>
      </w:r>
      <w:r w:rsidR="000E4CF5">
        <w:t xml:space="preserve"> </w:t>
      </w:r>
      <w:r w:rsidRPr="00E06F8B">
        <w:t>learning</w:t>
      </w:r>
      <w:r w:rsidR="000E4CF5">
        <w:t xml:space="preserve"> </w:t>
      </w:r>
      <w:r w:rsidRPr="00E06F8B">
        <w:t>that</w:t>
      </w:r>
      <w:r w:rsidR="000E4CF5">
        <w:t xml:space="preserve"> </w:t>
      </w:r>
      <w:r w:rsidRPr="00E06F8B">
        <w:t>are</w:t>
      </w:r>
      <w:r w:rsidR="000E4CF5">
        <w:t xml:space="preserve"> </w:t>
      </w:r>
      <w:r w:rsidRPr="00E06F8B">
        <w:t>more</w:t>
      </w:r>
      <w:r w:rsidR="000E4CF5">
        <w:t xml:space="preserve"> </w:t>
      </w:r>
      <w:r w:rsidRPr="00E06F8B">
        <w:t>aligned</w:t>
      </w:r>
      <w:r w:rsidR="000E4CF5">
        <w:t xml:space="preserve"> </w:t>
      </w:r>
      <w:r w:rsidRPr="00E06F8B">
        <w:t>with</w:t>
      </w:r>
      <w:r w:rsidR="000E4CF5">
        <w:t xml:space="preserve"> </w:t>
      </w:r>
      <w:r w:rsidRPr="00E06F8B">
        <w:t>contemporary</w:t>
      </w:r>
      <w:r w:rsidR="000E4CF5">
        <w:t xml:space="preserve"> </w:t>
      </w:r>
      <w:r w:rsidRPr="00E06F8B">
        <w:t>theories</w:t>
      </w:r>
      <w:r w:rsidR="000E4CF5">
        <w:t xml:space="preserve"> </w:t>
      </w:r>
      <w:r w:rsidRPr="00E06F8B">
        <w:t>of</w:t>
      </w:r>
      <w:r w:rsidR="000E4CF5">
        <w:t xml:space="preserve"> </w:t>
      </w:r>
      <w:r w:rsidRPr="00E06F8B">
        <w:t>effective</w:t>
      </w:r>
      <w:r w:rsidR="000E4CF5">
        <w:t xml:space="preserve"> </w:t>
      </w:r>
      <w:r w:rsidRPr="00E06F8B">
        <w:t>science</w:t>
      </w:r>
      <w:r w:rsidR="000E4CF5">
        <w:t xml:space="preserve"> </w:t>
      </w:r>
      <w:r w:rsidRPr="00E06F8B">
        <w:t>education</w:t>
      </w:r>
      <w:r w:rsidR="000E4CF5">
        <w:t xml:space="preserve"> </w:t>
      </w:r>
      <w:r w:rsidRPr="00E06F8B">
        <w:t>(i.e.,</w:t>
      </w:r>
      <w:r w:rsidR="000E4CF5">
        <w:t xml:space="preserve"> </w:t>
      </w:r>
      <w:r w:rsidRPr="00E06F8B">
        <w:t>learning</w:t>
      </w:r>
      <w:r w:rsidR="000E4CF5">
        <w:t xml:space="preserve"> </w:t>
      </w:r>
      <w:r w:rsidRPr="00E06F8B">
        <w:t>as</w:t>
      </w:r>
      <w:r w:rsidR="000E4CF5">
        <w:t xml:space="preserve"> </w:t>
      </w:r>
      <w:r w:rsidRPr="00E06F8B">
        <w:t>knowledge</w:t>
      </w:r>
      <w:r w:rsidR="000E4CF5">
        <w:t xml:space="preserve"> </w:t>
      </w:r>
      <w:r w:rsidRPr="00E06F8B">
        <w:t>construction</w:t>
      </w:r>
      <w:r w:rsidR="000E4CF5">
        <w:t xml:space="preserve"> </w:t>
      </w:r>
      <w:r w:rsidRPr="00E06F8B">
        <w:t>sustained</w:t>
      </w:r>
      <w:r w:rsidR="000E4CF5">
        <w:t xml:space="preserve"> </w:t>
      </w:r>
      <w:r w:rsidRPr="00E06F8B">
        <w:t>by</w:t>
      </w:r>
      <w:r w:rsidR="000E4CF5">
        <w:t xml:space="preserve"> </w:t>
      </w:r>
      <w:r w:rsidRPr="00E06F8B">
        <w:t>active</w:t>
      </w:r>
      <w:r w:rsidR="000E4CF5">
        <w:t xml:space="preserve"> </w:t>
      </w:r>
      <w:r w:rsidRPr="00E06F8B">
        <w:t>and</w:t>
      </w:r>
      <w:r w:rsidR="000E4CF5">
        <w:t xml:space="preserve"> </w:t>
      </w:r>
      <w:r w:rsidRPr="00E06F8B">
        <w:t>effortful</w:t>
      </w:r>
      <w:r w:rsidR="000E4CF5">
        <w:t xml:space="preserve"> </w:t>
      </w:r>
      <w:r w:rsidRPr="00E06F8B">
        <w:t>work</w:t>
      </w:r>
      <w:r w:rsidR="000E4CF5">
        <w:t xml:space="preserve"> </w:t>
      </w:r>
      <w:r w:rsidRPr="00E06F8B">
        <w:t>by</w:t>
      </w:r>
      <w:r w:rsidR="000E4CF5">
        <w:t xml:space="preserve"> </w:t>
      </w:r>
      <w:r w:rsidRPr="00E06F8B">
        <w:t>the</w:t>
      </w:r>
      <w:r w:rsidR="000E4CF5">
        <w:t xml:space="preserve"> </w:t>
      </w:r>
      <w:r w:rsidRPr="00E06F8B">
        <w:t>student,</w:t>
      </w:r>
      <w:r w:rsidR="000E4CF5">
        <w:t xml:space="preserve"> </w:t>
      </w:r>
      <w:r w:rsidRPr="00E06F8B">
        <w:t>instead</w:t>
      </w:r>
      <w:r w:rsidR="000E4CF5">
        <w:t xml:space="preserve"> </w:t>
      </w:r>
      <w:r w:rsidRPr="00E06F8B">
        <w:t>of</w:t>
      </w:r>
      <w:r w:rsidR="000E4CF5">
        <w:t xml:space="preserve"> </w:t>
      </w:r>
      <w:r w:rsidRPr="00E06F8B">
        <w:t>being</w:t>
      </w:r>
      <w:r w:rsidR="000E4CF5">
        <w:t xml:space="preserve"> </w:t>
      </w:r>
      <w:r w:rsidRPr="00E06F8B">
        <w:t>directed</w:t>
      </w:r>
      <w:r w:rsidR="000E4CF5">
        <w:t xml:space="preserve"> </w:t>
      </w:r>
      <w:r w:rsidRPr="00E06F8B">
        <w:t>by</w:t>
      </w:r>
      <w:r w:rsidR="000E4CF5">
        <w:t xml:space="preserve"> </w:t>
      </w:r>
      <w:r w:rsidRPr="00E06F8B">
        <w:t>the</w:t>
      </w:r>
      <w:r w:rsidR="000E4CF5">
        <w:t xml:space="preserve"> </w:t>
      </w:r>
      <w:r w:rsidRPr="00E06F8B">
        <w:t>teacher).</w:t>
      </w:r>
      <w:r w:rsidR="000E4CF5">
        <w:t xml:space="preserve"> </w:t>
      </w:r>
      <w:r w:rsidRPr="00E06F8B">
        <w:t>In</w:t>
      </w:r>
      <w:r w:rsidR="000E4CF5">
        <w:t xml:space="preserve"> </w:t>
      </w:r>
      <w:r w:rsidRPr="00E06F8B">
        <w:t>so</w:t>
      </w:r>
      <w:r w:rsidR="000E4CF5">
        <w:t xml:space="preserve"> </w:t>
      </w:r>
      <w:r w:rsidRPr="00E06F8B">
        <w:t>far</w:t>
      </w:r>
      <w:r w:rsidR="000E4CF5">
        <w:t xml:space="preserve"> </w:t>
      </w:r>
      <w:r w:rsidRPr="00E06F8B">
        <w:t>as</w:t>
      </w:r>
      <w:r w:rsidR="000E4CF5">
        <w:t xml:space="preserve"> </w:t>
      </w:r>
      <w:r w:rsidRPr="00E06F8B">
        <w:t>the</w:t>
      </w:r>
      <w:r w:rsidR="000E4CF5">
        <w:t xml:space="preserve"> </w:t>
      </w:r>
      <w:r w:rsidRPr="00E06F8B">
        <w:t>research</w:t>
      </w:r>
      <w:r w:rsidR="000E4CF5">
        <w:t xml:space="preserve"> </w:t>
      </w:r>
      <w:r w:rsidRPr="00E06F8B">
        <w:t>on</w:t>
      </w:r>
      <w:r w:rsidR="000E4CF5">
        <w:t xml:space="preserve"> </w:t>
      </w:r>
      <w:r w:rsidRPr="00E06F8B">
        <w:t>teacher</w:t>
      </w:r>
      <w:r w:rsidR="000E4CF5">
        <w:t xml:space="preserve"> </w:t>
      </w:r>
      <w:r w:rsidRPr="00E06F8B">
        <w:t>beliefs</w:t>
      </w:r>
      <w:r w:rsidR="000E4CF5">
        <w:t xml:space="preserve"> </w:t>
      </w:r>
      <w:r w:rsidRPr="00E06F8B">
        <w:t>suggest</w:t>
      </w:r>
      <w:r w:rsidR="000E4CF5">
        <w:t xml:space="preserve"> </w:t>
      </w:r>
      <w:r w:rsidRPr="00E06F8B">
        <w:t>that</w:t>
      </w:r>
      <w:r w:rsidR="000E4CF5">
        <w:t xml:space="preserve"> </w:t>
      </w:r>
      <w:r w:rsidRPr="00E06F8B">
        <w:t>they</w:t>
      </w:r>
      <w:r w:rsidR="000E4CF5">
        <w:t xml:space="preserve"> </w:t>
      </w:r>
      <w:r w:rsidRPr="00E06F8B">
        <w:t>are</w:t>
      </w:r>
      <w:r w:rsidR="000E4CF5">
        <w:t xml:space="preserve"> </w:t>
      </w:r>
      <w:r w:rsidRPr="00E06F8B">
        <w:t>important</w:t>
      </w:r>
      <w:r w:rsidR="000E4CF5">
        <w:t xml:space="preserve"> </w:t>
      </w:r>
      <w:r w:rsidRPr="00E06F8B">
        <w:t>predictors</w:t>
      </w:r>
      <w:r w:rsidR="000E4CF5">
        <w:t xml:space="preserve"> </w:t>
      </w:r>
      <w:r w:rsidRPr="00E06F8B">
        <w:t>of</w:t>
      </w:r>
      <w:r w:rsidR="000E4CF5">
        <w:t xml:space="preserve"> </w:t>
      </w:r>
      <w:r w:rsidRPr="00E06F8B">
        <w:t>actual</w:t>
      </w:r>
      <w:r w:rsidR="000E4CF5">
        <w:t xml:space="preserve"> </w:t>
      </w:r>
      <w:r w:rsidRPr="00E06F8B">
        <w:t>teaching</w:t>
      </w:r>
      <w:r w:rsidR="000E4CF5">
        <w:t xml:space="preserve"> </w:t>
      </w:r>
      <w:r w:rsidRPr="00E06F8B">
        <w:t>behaviors</w:t>
      </w:r>
      <w:r w:rsidR="000E4CF5">
        <w:t xml:space="preserve"> </w:t>
      </w:r>
      <w:r w:rsidRPr="00E06F8B">
        <w:t>in</w:t>
      </w:r>
      <w:r w:rsidR="000E4CF5">
        <w:t xml:space="preserve"> </w:t>
      </w:r>
      <w:r w:rsidRPr="00E06F8B">
        <w:t>the</w:t>
      </w:r>
      <w:r w:rsidR="000E4CF5">
        <w:t xml:space="preserve"> </w:t>
      </w:r>
      <w:r w:rsidRPr="00E06F8B">
        <w:t>classroom,</w:t>
      </w:r>
      <w:r w:rsidR="000E4CF5">
        <w:t xml:space="preserve"> </w:t>
      </w:r>
      <w:r w:rsidRPr="00E06F8B">
        <w:t>this</w:t>
      </w:r>
      <w:r w:rsidR="000E4CF5">
        <w:t xml:space="preserve"> </w:t>
      </w:r>
      <w:r w:rsidRPr="00E06F8B">
        <w:t>impact</w:t>
      </w:r>
      <w:r w:rsidR="000E4CF5">
        <w:t xml:space="preserve"> </w:t>
      </w:r>
      <w:r w:rsidRPr="00E06F8B">
        <w:t>of</w:t>
      </w:r>
      <w:r w:rsidR="000E4CF5">
        <w:t xml:space="preserve"> </w:t>
      </w:r>
      <w:r w:rsidRPr="00E06F8B">
        <w:t>science</w:t>
      </w:r>
      <w:r w:rsidR="000E4CF5">
        <w:t xml:space="preserve"> </w:t>
      </w:r>
      <w:r w:rsidRPr="00E06F8B">
        <w:t>coursework</w:t>
      </w:r>
      <w:r w:rsidR="000E4CF5">
        <w:t xml:space="preserve"> </w:t>
      </w:r>
      <w:r w:rsidRPr="00E06F8B">
        <w:t>on</w:t>
      </w:r>
      <w:r w:rsidR="000E4CF5">
        <w:t xml:space="preserve"> </w:t>
      </w:r>
      <w:r w:rsidRPr="00E06F8B">
        <w:t>beliefs</w:t>
      </w:r>
      <w:r w:rsidR="000E4CF5">
        <w:t xml:space="preserve"> </w:t>
      </w:r>
      <w:r w:rsidRPr="00E06F8B">
        <w:t>may</w:t>
      </w:r>
      <w:r w:rsidR="000E4CF5">
        <w:t xml:space="preserve"> </w:t>
      </w:r>
      <w:r w:rsidR="00905E05" w:rsidRPr="00E06F8B">
        <w:t>have</w:t>
      </w:r>
      <w:r w:rsidR="000E4CF5">
        <w:t xml:space="preserve"> </w:t>
      </w:r>
      <w:r w:rsidR="00905E05" w:rsidRPr="00E06F8B">
        <w:t>far-reaching</w:t>
      </w:r>
      <w:r w:rsidR="000E4CF5">
        <w:t xml:space="preserve"> </w:t>
      </w:r>
      <w:r w:rsidR="00905E05" w:rsidRPr="00E06F8B">
        <w:t>implic</w:t>
      </w:r>
      <w:r w:rsidR="00905E05" w:rsidRPr="00E06F8B">
        <w:t>a</w:t>
      </w:r>
      <w:r w:rsidR="00905E05" w:rsidRPr="00E06F8B">
        <w:t>tions.</w:t>
      </w:r>
    </w:p>
    <w:p w14:paraId="49222C8F" w14:textId="77777777" w:rsidR="007D04A1" w:rsidRPr="00E06F8B" w:rsidRDefault="007D04A1" w:rsidP="00905E05">
      <w:pPr>
        <w:pStyle w:val="BodyTextFirstIndent"/>
      </w:pPr>
      <w:r w:rsidRPr="00E06F8B">
        <w:t>The</w:t>
      </w:r>
      <w:r w:rsidR="000E4CF5">
        <w:t xml:space="preserve"> </w:t>
      </w:r>
      <w:r w:rsidRPr="00E06F8B">
        <w:t>question</w:t>
      </w:r>
      <w:r w:rsidR="000E4CF5">
        <w:t xml:space="preserve"> </w:t>
      </w:r>
      <w:r w:rsidRPr="00E06F8B">
        <w:t>is</w:t>
      </w:r>
      <w:r w:rsidR="000E4CF5">
        <w:t xml:space="preserve"> </w:t>
      </w:r>
      <w:r w:rsidRPr="00E06F8B">
        <w:t>why</w:t>
      </w:r>
      <w:r w:rsidR="000E4CF5">
        <w:t xml:space="preserve"> </w:t>
      </w:r>
      <w:r w:rsidRPr="00E06F8B">
        <w:t>and</w:t>
      </w:r>
      <w:r w:rsidR="000E4CF5">
        <w:t xml:space="preserve"> </w:t>
      </w:r>
      <w:r w:rsidRPr="00E06F8B">
        <w:t>how</w:t>
      </w:r>
      <w:r w:rsidR="000E4CF5">
        <w:t xml:space="preserve"> </w:t>
      </w:r>
      <w:r w:rsidRPr="00E06F8B">
        <w:t>science</w:t>
      </w:r>
      <w:r w:rsidR="000E4CF5">
        <w:t xml:space="preserve"> </w:t>
      </w:r>
      <w:r w:rsidRPr="00E06F8B">
        <w:t>coursework</w:t>
      </w:r>
      <w:r w:rsidR="000E4CF5">
        <w:t xml:space="preserve"> </w:t>
      </w:r>
      <w:r w:rsidRPr="00E06F8B">
        <w:t>would</w:t>
      </w:r>
      <w:r w:rsidR="000E4CF5">
        <w:t xml:space="preserve"> </w:t>
      </w:r>
      <w:r w:rsidRPr="00E06F8B">
        <w:t>influence</w:t>
      </w:r>
      <w:r w:rsidR="000E4CF5">
        <w:t xml:space="preserve"> </w:t>
      </w:r>
      <w:r w:rsidRPr="00E06F8B">
        <w:t>science</w:t>
      </w:r>
      <w:r w:rsidR="000E4CF5">
        <w:t xml:space="preserve"> </w:t>
      </w:r>
      <w:r w:rsidRPr="00E06F8B">
        <w:t>teachers’</w:t>
      </w:r>
      <w:r w:rsidR="000E4CF5">
        <w:t xml:space="preserve"> </w:t>
      </w:r>
      <w:r w:rsidRPr="00E06F8B">
        <w:t>beliefs</w:t>
      </w:r>
      <w:r w:rsidR="000E4CF5">
        <w:t xml:space="preserve"> </w:t>
      </w:r>
      <w:r w:rsidRPr="00E06F8B">
        <w:t>at</w:t>
      </w:r>
      <w:r w:rsidR="000E4CF5">
        <w:t xml:space="preserve"> </w:t>
      </w:r>
      <w:r w:rsidRPr="00E06F8B">
        <w:t>all.</w:t>
      </w:r>
      <w:r w:rsidR="000E4CF5">
        <w:t xml:space="preserve"> </w:t>
      </w:r>
      <w:r w:rsidRPr="00E06F8B">
        <w:t>Our</w:t>
      </w:r>
      <w:r w:rsidR="000E4CF5">
        <w:t xml:space="preserve"> </w:t>
      </w:r>
      <w:r w:rsidRPr="00E06F8B">
        <w:t>current</w:t>
      </w:r>
      <w:r w:rsidR="000E4CF5">
        <w:t xml:space="preserve"> </w:t>
      </w:r>
      <w:r w:rsidRPr="00E06F8B">
        <w:t>study</w:t>
      </w:r>
      <w:r w:rsidR="000E4CF5">
        <w:t xml:space="preserve"> </w:t>
      </w:r>
      <w:r w:rsidRPr="00E06F8B">
        <w:t>does</w:t>
      </w:r>
      <w:r w:rsidR="000E4CF5">
        <w:t xml:space="preserve"> </w:t>
      </w:r>
      <w:r w:rsidRPr="00E06F8B">
        <w:t>not</w:t>
      </w:r>
      <w:r w:rsidR="000E4CF5">
        <w:t xml:space="preserve"> </w:t>
      </w:r>
      <w:r w:rsidRPr="00E06F8B">
        <w:t>allow</w:t>
      </w:r>
      <w:r w:rsidR="000E4CF5">
        <w:t xml:space="preserve"> </w:t>
      </w:r>
      <w:r w:rsidRPr="00E06F8B">
        <w:t>us</w:t>
      </w:r>
      <w:r w:rsidR="000E4CF5">
        <w:t xml:space="preserve"> </w:t>
      </w:r>
      <w:r w:rsidRPr="00E06F8B">
        <w:t>to</w:t>
      </w:r>
      <w:r w:rsidR="000E4CF5">
        <w:t xml:space="preserve"> </w:t>
      </w:r>
      <w:r w:rsidRPr="00E06F8B">
        <w:t>pr</w:t>
      </w:r>
      <w:r w:rsidRPr="00E06F8B">
        <w:t>o</w:t>
      </w:r>
      <w:r w:rsidRPr="00E06F8B">
        <w:t>vide</w:t>
      </w:r>
      <w:r w:rsidR="000E4CF5">
        <w:t xml:space="preserve"> </w:t>
      </w:r>
      <w:r w:rsidRPr="00E06F8B">
        <w:t>direct</w:t>
      </w:r>
      <w:r w:rsidR="000E4CF5">
        <w:t xml:space="preserve"> </w:t>
      </w:r>
      <w:r w:rsidRPr="00E06F8B">
        <w:t>answers</w:t>
      </w:r>
      <w:r w:rsidR="000E4CF5">
        <w:t xml:space="preserve"> </w:t>
      </w:r>
      <w:r w:rsidRPr="00E06F8B">
        <w:t>to</w:t>
      </w:r>
      <w:r w:rsidR="000E4CF5">
        <w:t xml:space="preserve"> </w:t>
      </w:r>
      <w:r w:rsidRPr="00E06F8B">
        <w:t>this</w:t>
      </w:r>
      <w:r w:rsidR="000E4CF5">
        <w:t xml:space="preserve"> </w:t>
      </w:r>
      <w:r w:rsidRPr="00E06F8B">
        <w:t>question.</w:t>
      </w:r>
      <w:r w:rsidR="000E4CF5">
        <w:t xml:space="preserve"> </w:t>
      </w:r>
      <w:r w:rsidRPr="00E06F8B">
        <w:t>However,</w:t>
      </w:r>
      <w:r w:rsidR="000E4CF5">
        <w:t xml:space="preserve"> </w:t>
      </w:r>
      <w:r w:rsidRPr="00E06F8B">
        <w:t>we</w:t>
      </w:r>
      <w:r w:rsidR="000E4CF5">
        <w:t xml:space="preserve"> </w:t>
      </w:r>
      <w:r w:rsidRPr="00E06F8B">
        <w:t>can</w:t>
      </w:r>
      <w:r w:rsidR="000E4CF5">
        <w:t xml:space="preserve"> </w:t>
      </w:r>
      <w:r w:rsidRPr="00E06F8B">
        <w:t>glean</w:t>
      </w:r>
      <w:r w:rsidR="000E4CF5">
        <w:t xml:space="preserve"> </w:t>
      </w:r>
      <w:r w:rsidRPr="00E06F8B">
        <w:t>from</w:t>
      </w:r>
      <w:r w:rsidR="000E4CF5">
        <w:t xml:space="preserve"> </w:t>
      </w:r>
      <w:r w:rsidRPr="00E06F8B">
        <w:t>the</w:t>
      </w:r>
      <w:r w:rsidR="000E4CF5">
        <w:t xml:space="preserve"> </w:t>
      </w:r>
      <w:r w:rsidRPr="00E06F8B">
        <w:t>r</w:t>
      </w:r>
      <w:r w:rsidRPr="00E06F8B">
        <w:t>e</w:t>
      </w:r>
      <w:r w:rsidRPr="00E06F8B">
        <w:t>search</w:t>
      </w:r>
      <w:r w:rsidR="000E4CF5">
        <w:t xml:space="preserve"> </w:t>
      </w:r>
      <w:r w:rsidRPr="00E06F8B">
        <w:t>on</w:t>
      </w:r>
      <w:r w:rsidR="000E4CF5">
        <w:t xml:space="preserve"> </w:t>
      </w:r>
      <w:r w:rsidRPr="00E06F8B">
        <w:t>pedagogical</w:t>
      </w:r>
      <w:r w:rsidR="000E4CF5">
        <w:t xml:space="preserve"> </w:t>
      </w:r>
      <w:r w:rsidRPr="00E06F8B">
        <w:t>content</w:t>
      </w:r>
      <w:r w:rsidR="000E4CF5">
        <w:t xml:space="preserve"> </w:t>
      </w:r>
      <w:r w:rsidRPr="00E06F8B">
        <w:t>knowledge</w:t>
      </w:r>
      <w:r w:rsidR="000E4CF5">
        <w:t xml:space="preserve"> </w:t>
      </w:r>
      <w:r w:rsidRPr="00E06F8B">
        <w:t>(</w:t>
      </w:r>
      <w:proofErr w:type="spellStart"/>
      <w:r w:rsidRPr="00E06F8B">
        <w:t>Loughran</w:t>
      </w:r>
      <w:proofErr w:type="spellEnd"/>
      <w:r w:rsidR="000E4CF5">
        <w:t xml:space="preserve"> </w:t>
      </w:r>
      <w:r w:rsidRPr="00E06F8B">
        <w:t>et</w:t>
      </w:r>
      <w:r w:rsidR="000E4CF5">
        <w:t xml:space="preserve"> </w:t>
      </w:r>
      <w:r w:rsidRPr="00E06F8B">
        <w:t>al.,</w:t>
      </w:r>
      <w:r w:rsidR="000E4CF5">
        <w:t xml:space="preserve"> </w:t>
      </w:r>
      <w:r w:rsidRPr="00E06F8B">
        <w:t>2004;</w:t>
      </w:r>
      <w:r w:rsidR="000E4CF5">
        <w:t xml:space="preserve"> </w:t>
      </w:r>
      <w:r w:rsidRPr="00E06F8B">
        <w:t>van</w:t>
      </w:r>
      <w:r w:rsidR="000E4CF5">
        <w:t xml:space="preserve"> </w:t>
      </w:r>
      <w:proofErr w:type="spellStart"/>
      <w:r w:rsidRPr="00E06F8B">
        <w:t>Dr</w:t>
      </w:r>
      <w:r w:rsidRPr="00E06F8B">
        <w:t>i</w:t>
      </w:r>
      <w:r w:rsidRPr="00E06F8B">
        <w:t>el</w:t>
      </w:r>
      <w:proofErr w:type="spellEnd"/>
      <w:r w:rsidRPr="00E06F8B">
        <w:t>,</w:t>
      </w:r>
      <w:r w:rsidR="000E4CF5">
        <w:t xml:space="preserve"> </w:t>
      </w:r>
      <w:proofErr w:type="spellStart"/>
      <w:r w:rsidRPr="00E06F8B">
        <w:t>Verloop</w:t>
      </w:r>
      <w:proofErr w:type="spellEnd"/>
      <w:r w:rsidRPr="00E06F8B">
        <w:t>,</w:t>
      </w:r>
      <w:r w:rsidR="000E4CF5">
        <w:t xml:space="preserve"> </w:t>
      </w:r>
      <w:r w:rsidRPr="00E06F8B">
        <w:t>&amp;</w:t>
      </w:r>
      <w:r w:rsidR="000E4CF5">
        <w:t xml:space="preserve"> </w:t>
      </w:r>
      <w:r w:rsidRPr="00E06F8B">
        <w:t>de</w:t>
      </w:r>
      <w:r w:rsidR="000E4CF5">
        <w:t xml:space="preserve"> </w:t>
      </w:r>
      <w:proofErr w:type="spellStart"/>
      <w:r w:rsidRPr="00E06F8B">
        <w:t>Vos</w:t>
      </w:r>
      <w:proofErr w:type="spellEnd"/>
      <w:r w:rsidRPr="00E06F8B">
        <w:t>,</w:t>
      </w:r>
      <w:r w:rsidR="000E4CF5">
        <w:t xml:space="preserve"> </w:t>
      </w:r>
      <w:r w:rsidRPr="00E06F8B">
        <w:t>1998)</w:t>
      </w:r>
      <w:r w:rsidR="000E4CF5">
        <w:t xml:space="preserve"> </w:t>
      </w:r>
      <w:r w:rsidRPr="00E06F8B">
        <w:t>that</w:t>
      </w:r>
      <w:r w:rsidR="000E4CF5">
        <w:t xml:space="preserve"> </w:t>
      </w:r>
      <w:r w:rsidRPr="00E06F8B">
        <w:t>content</w:t>
      </w:r>
      <w:r w:rsidR="000E4CF5">
        <w:t xml:space="preserve"> </w:t>
      </w:r>
      <w:r w:rsidRPr="00E06F8B">
        <w:t>knowledge</w:t>
      </w:r>
      <w:r w:rsidR="000E4CF5">
        <w:t xml:space="preserve"> </w:t>
      </w:r>
      <w:r w:rsidRPr="00E06F8B">
        <w:t>may</w:t>
      </w:r>
      <w:r w:rsidR="000E4CF5">
        <w:t xml:space="preserve"> </w:t>
      </w:r>
      <w:r w:rsidRPr="00E06F8B">
        <w:t>provide</w:t>
      </w:r>
      <w:r w:rsidR="000E4CF5">
        <w:t xml:space="preserve"> </w:t>
      </w:r>
      <w:r w:rsidRPr="00E06F8B">
        <w:t>specific</w:t>
      </w:r>
      <w:r w:rsidR="000E4CF5">
        <w:t xml:space="preserve"> </w:t>
      </w:r>
      <w:r w:rsidRPr="00E06F8B">
        <w:t>knowledge</w:t>
      </w:r>
      <w:r w:rsidR="000E4CF5">
        <w:t xml:space="preserve"> </w:t>
      </w:r>
      <w:r w:rsidRPr="00E06F8B">
        <w:t>anchors</w:t>
      </w:r>
      <w:r w:rsidR="000E4CF5">
        <w:t xml:space="preserve"> </w:t>
      </w:r>
      <w:r w:rsidRPr="00E06F8B">
        <w:t>that</w:t>
      </w:r>
      <w:r w:rsidR="000E4CF5">
        <w:t xml:space="preserve"> </w:t>
      </w:r>
      <w:r w:rsidRPr="00E06F8B">
        <w:t>teachers</w:t>
      </w:r>
      <w:r w:rsidR="000E4CF5">
        <w:t xml:space="preserve"> </w:t>
      </w:r>
      <w:r w:rsidRPr="00E06F8B">
        <w:t>use</w:t>
      </w:r>
      <w:r w:rsidR="000E4CF5">
        <w:t xml:space="preserve"> </w:t>
      </w:r>
      <w:r w:rsidRPr="00E06F8B">
        <w:t>when</w:t>
      </w:r>
      <w:r w:rsidR="000E4CF5">
        <w:t xml:space="preserve"> </w:t>
      </w:r>
      <w:r w:rsidRPr="00E06F8B">
        <w:t>they</w:t>
      </w:r>
      <w:r w:rsidR="000E4CF5">
        <w:t xml:space="preserve"> </w:t>
      </w:r>
      <w:r w:rsidRPr="00E06F8B">
        <w:t>reflect</w:t>
      </w:r>
      <w:r w:rsidR="000E4CF5">
        <w:t xml:space="preserve"> </w:t>
      </w:r>
      <w:r w:rsidRPr="00E06F8B">
        <w:t>on</w:t>
      </w:r>
      <w:r w:rsidR="000E4CF5">
        <w:t xml:space="preserve"> </w:t>
      </w:r>
      <w:r w:rsidRPr="00E06F8B">
        <w:t>their</w:t>
      </w:r>
      <w:r w:rsidR="000E4CF5">
        <w:t xml:space="preserve"> </w:t>
      </w:r>
      <w:r w:rsidRPr="00E06F8B">
        <w:t>classroom</w:t>
      </w:r>
      <w:r w:rsidR="000E4CF5">
        <w:t xml:space="preserve"> </w:t>
      </w:r>
      <w:r w:rsidRPr="00E06F8B">
        <w:t>actions.</w:t>
      </w:r>
      <w:r w:rsidR="000E4CF5">
        <w:t xml:space="preserve"> </w:t>
      </w:r>
      <w:r w:rsidRPr="00E06F8B">
        <w:t>In</w:t>
      </w:r>
      <w:r w:rsidR="000E4CF5">
        <w:t xml:space="preserve"> </w:t>
      </w:r>
      <w:r w:rsidRPr="00E06F8B">
        <w:t>a</w:t>
      </w:r>
      <w:r w:rsidR="000E4CF5">
        <w:t xml:space="preserve"> </w:t>
      </w:r>
      <w:r w:rsidRPr="00E06F8B">
        <w:t>study</w:t>
      </w:r>
      <w:r w:rsidR="000E4CF5">
        <w:t xml:space="preserve"> </w:t>
      </w:r>
      <w:r w:rsidRPr="00E06F8B">
        <w:t>on</w:t>
      </w:r>
      <w:r w:rsidR="000E4CF5">
        <w:t xml:space="preserve"> </w:t>
      </w:r>
      <w:r w:rsidRPr="00E06F8B">
        <w:t>pedagogical</w:t>
      </w:r>
      <w:r w:rsidR="000E4CF5">
        <w:t xml:space="preserve"> </w:t>
      </w:r>
      <w:r w:rsidRPr="00E06F8B">
        <w:t>content</w:t>
      </w:r>
      <w:r w:rsidR="000E4CF5">
        <w:t xml:space="preserve"> </w:t>
      </w:r>
      <w:r w:rsidRPr="00E06F8B">
        <w:t>knowledge</w:t>
      </w:r>
      <w:r w:rsidR="000E4CF5">
        <w:t xml:space="preserve"> </w:t>
      </w:r>
      <w:r w:rsidRPr="00E06F8B">
        <w:t>of</w:t>
      </w:r>
      <w:r w:rsidR="000E4CF5">
        <w:t xml:space="preserve"> </w:t>
      </w:r>
      <w:r w:rsidRPr="00E06F8B">
        <w:t>mathematics</w:t>
      </w:r>
      <w:r w:rsidR="000E4CF5">
        <w:t xml:space="preserve"> </w:t>
      </w:r>
      <w:r w:rsidRPr="00E06F8B">
        <w:t>teachers,</w:t>
      </w:r>
      <w:r w:rsidR="000E4CF5">
        <w:t xml:space="preserve"> </w:t>
      </w:r>
      <w:proofErr w:type="spellStart"/>
      <w:r w:rsidRPr="00E06F8B">
        <w:t>Lowenberg</w:t>
      </w:r>
      <w:proofErr w:type="spellEnd"/>
      <w:r w:rsidR="000E4CF5">
        <w:t xml:space="preserve"> </w:t>
      </w:r>
      <w:r w:rsidRPr="00E06F8B">
        <w:t>Ball,</w:t>
      </w:r>
      <w:r w:rsidR="000E4CF5">
        <w:t xml:space="preserve"> </w:t>
      </w:r>
      <w:r w:rsidRPr="00E06F8B">
        <w:t>Thames,</w:t>
      </w:r>
      <w:r w:rsidR="000E4CF5">
        <w:t xml:space="preserve"> </w:t>
      </w:r>
      <w:r w:rsidRPr="00E06F8B">
        <w:t>and</w:t>
      </w:r>
      <w:r w:rsidR="000E4CF5">
        <w:t xml:space="preserve"> </w:t>
      </w:r>
      <w:r w:rsidRPr="00E06F8B">
        <w:t>Phelps</w:t>
      </w:r>
      <w:r w:rsidR="000E4CF5">
        <w:t xml:space="preserve"> </w:t>
      </w:r>
      <w:r w:rsidRPr="00E06F8B">
        <w:t>(2008)</w:t>
      </w:r>
      <w:r w:rsidR="000E4CF5">
        <w:t xml:space="preserve"> </w:t>
      </w:r>
      <w:r w:rsidRPr="00E06F8B">
        <w:t>identified</w:t>
      </w:r>
      <w:r w:rsidR="000E4CF5">
        <w:t xml:space="preserve"> </w:t>
      </w:r>
      <w:r w:rsidRPr="00E06F8B">
        <w:t>specific</w:t>
      </w:r>
      <w:r w:rsidR="000E4CF5">
        <w:t xml:space="preserve"> </w:t>
      </w:r>
      <w:r w:rsidRPr="00E06F8B">
        <w:t>types</w:t>
      </w:r>
      <w:r w:rsidR="000E4CF5">
        <w:t xml:space="preserve"> </w:t>
      </w:r>
      <w:r w:rsidRPr="00E06F8B">
        <w:t>of</w:t>
      </w:r>
      <w:r w:rsidR="000E4CF5">
        <w:t xml:space="preserve"> </w:t>
      </w:r>
      <w:r w:rsidRPr="00E06F8B">
        <w:t>content</w:t>
      </w:r>
      <w:r w:rsidR="000E4CF5">
        <w:t xml:space="preserve"> </w:t>
      </w:r>
      <w:r w:rsidRPr="00E06F8B">
        <w:t>knowledge</w:t>
      </w:r>
      <w:r w:rsidR="000E4CF5">
        <w:t xml:space="preserve"> </w:t>
      </w:r>
      <w:r w:rsidRPr="00E06F8B">
        <w:t>(i.e.,</w:t>
      </w:r>
      <w:r w:rsidR="000E4CF5">
        <w:t xml:space="preserve"> </w:t>
      </w:r>
      <w:r w:rsidRPr="00E06F8B">
        <w:t>knowledge</w:t>
      </w:r>
      <w:r w:rsidR="000E4CF5">
        <w:t xml:space="preserve"> </w:t>
      </w:r>
      <w:r w:rsidRPr="00E06F8B">
        <w:t>of</w:t>
      </w:r>
      <w:r w:rsidR="000E4CF5">
        <w:t xml:space="preserve"> </w:t>
      </w:r>
      <w:r w:rsidRPr="00E06F8B">
        <w:t>content</w:t>
      </w:r>
      <w:r w:rsidR="000E4CF5">
        <w:t xml:space="preserve"> </w:t>
      </w:r>
      <w:r w:rsidRPr="00E06F8B">
        <w:t>and</w:t>
      </w:r>
      <w:r w:rsidR="000E4CF5">
        <w:t xml:space="preserve"> </w:t>
      </w:r>
      <w:r w:rsidRPr="00E06F8B">
        <w:t>students,</w:t>
      </w:r>
      <w:r w:rsidR="000E4CF5">
        <w:t xml:space="preserve"> </w:t>
      </w:r>
      <w:r w:rsidRPr="00E06F8B">
        <w:t>knowledge</w:t>
      </w:r>
      <w:r w:rsidR="000E4CF5">
        <w:t xml:space="preserve"> </w:t>
      </w:r>
      <w:r w:rsidRPr="00E06F8B">
        <w:t>of</w:t>
      </w:r>
      <w:r w:rsidR="000E4CF5">
        <w:t xml:space="preserve"> </w:t>
      </w:r>
      <w:r w:rsidRPr="00E06F8B">
        <w:t>content</w:t>
      </w:r>
      <w:r w:rsidR="000E4CF5">
        <w:t xml:space="preserve"> </w:t>
      </w:r>
      <w:r w:rsidRPr="00E06F8B">
        <w:t>and</w:t>
      </w:r>
      <w:r w:rsidR="000E4CF5">
        <w:t xml:space="preserve"> </w:t>
      </w:r>
      <w:r w:rsidRPr="00E06F8B">
        <w:t>teaching,</w:t>
      </w:r>
      <w:r w:rsidR="000E4CF5">
        <w:t xml:space="preserve"> </w:t>
      </w:r>
      <w:r w:rsidRPr="00E06F8B">
        <w:t>and</w:t>
      </w:r>
      <w:r w:rsidR="000E4CF5">
        <w:t xml:space="preserve"> </w:t>
      </w:r>
      <w:r w:rsidRPr="00E06F8B">
        <w:t>specialized</w:t>
      </w:r>
      <w:r w:rsidR="000E4CF5">
        <w:t xml:space="preserve"> </w:t>
      </w:r>
      <w:r w:rsidRPr="00E06F8B">
        <w:t>content</w:t>
      </w:r>
      <w:r w:rsidR="000E4CF5">
        <w:t xml:space="preserve"> </w:t>
      </w:r>
      <w:r w:rsidRPr="00E06F8B">
        <w:t>knowledge)</w:t>
      </w:r>
      <w:r w:rsidR="000E4CF5">
        <w:t xml:space="preserve"> </w:t>
      </w:r>
      <w:r w:rsidRPr="00E06F8B">
        <w:t>needed</w:t>
      </w:r>
      <w:r w:rsidR="000E4CF5">
        <w:t xml:space="preserve"> </w:t>
      </w:r>
      <w:r w:rsidRPr="00E06F8B">
        <w:t>by</w:t>
      </w:r>
      <w:r w:rsidR="000E4CF5">
        <w:t xml:space="preserve"> </w:t>
      </w:r>
      <w:r w:rsidRPr="00E06F8B">
        <w:t>mathematics</w:t>
      </w:r>
      <w:r w:rsidR="000E4CF5">
        <w:t xml:space="preserve"> </w:t>
      </w:r>
      <w:r w:rsidRPr="00E06F8B">
        <w:t>teachers.</w:t>
      </w:r>
      <w:r w:rsidR="000E4CF5">
        <w:t xml:space="preserve"> </w:t>
      </w:r>
      <w:r w:rsidRPr="00E06F8B">
        <w:t>If</w:t>
      </w:r>
      <w:r w:rsidR="000E4CF5">
        <w:t xml:space="preserve"> </w:t>
      </w:r>
      <w:r w:rsidRPr="00E06F8B">
        <w:t>we</w:t>
      </w:r>
      <w:r w:rsidR="000E4CF5">
        <w:t xml:space="preserve"> </w:t>
      </w:r>
      <w:r w:rsidRPr="00E06F8B">
        <w:t>assume</w:t>
      </w:r>
      <w:r w:rsidR="000E4CF5">
        <w:t xml:space="preserve"> </w:t>
      </w:r>
      <w:r w:rsidRPr="00E06F8B">
        <w:t>that</w:t>
      </w:r>
      <w:r w:rsidR="000E4CF5">
        <w:t xml:space="preserve"> </w:t>
      </w:r>
      <w:r w:rsidRPr="00E06F8B">
        <w:t>similar</w:t>
      </w:r>
      <w:r w:rsidR="000E4CF5">
        <w:t xml:space="preserve"> </w:t>
      </w:r>
      <w:r w:rsidRPr="00E06F8B">
        <w:t>categories</w:t>
      </w:r>
      <w:r w:rsidR="000E4CF5">
        <w:t xml:space="preserve"> </w:t>
      </w:r>
      <w:r w:rsidRPr="00E06F8B">
        <w:t>of</w:t>
      </w:r>
      <w:r w:rsidR="000E4CF5">
        <w:t xml:space="preserve"> </w:t>
      </w:r>
      <w:r w:rsidRPr="00E06F8B">
        <w:t>pedagogical</w:t>
      </w:r>
      <w:r w:rsidR="000E4CF5">
        <w:t xml:space="preserve"> </w:t>
      </w:r>
      <w:r w:rsidRPr="00E06F8B">
        <w:t>content</w:t>
      </w:r>
      <w:r w:rsidR="000E4CF5">
        <w:t xml:space="preserve"> </w:t>
      </w:r>
      <w:r w:rsidRPr="00E06F8B">
        <w:t>knowledge</w:t>
      </w:r>
      <w:r w:rsidR="000E4CF5">
        <w:t xml:space="preserve"> </w:t>
      </w:r>
      <w:r w:rsidRPr="00E06F8B">
        <w:t>are</w:t>
      </w:r>
      <w:r w:rsidR="000E4CF5">
        <w:t xml:space="preserve"> </w:t>
      </w:r>
      <w:r w:rsidRPr="00E06F8B">
        <w:t>important</w:t>
      </w:r>
      <w:r w:rsidR="000E4CF5">
        <w:t xml:space="preserve"> </w:t>
      </w:r>
      <w:r w:rsidRPr="00E06F8B">
        <w:t>for</w:t>
      </w:r>
      <w:r w:rsidR="000E4CF5">
        <w:t xml:space="preserve"> </w:t>
      </w:r>
      <w:r w:rsidRPr="00E06F8B">
        <w:t>science</w:t>
      </w:r>
      <w:r w:rsidR="000E4CF5">
        <w:t xml:space="preserve"> </w:t>
      </w:r>
      <w:r w:rsidRPr="00E06F8B">
        <w:t>teachers,</w:t>
      </w:r>
      <w:r w:rsidR="000E4CF5">
        <w:t xml:space="preserve"> </w:t>
      </w:r>
      <w:r w:rsidRPr="00E06F8B">
        <w:t>pe</w:t>
      </w:r>
      <w:r w:rsidRPr="00E06F8B">
        <w:t>r</w:t>
      </w:r>
      <w:r w:rsidRPr="00E06F8B">
        <w:t>haps</w:t>
      </w:r>
      <w:r w:rsidR="000E4CF5">
        <w:t xml:space="preserve"> </w:t>
      </w:r>
      <w:r w:rsidRPr="00E06F8B">
        <w:t>the</w:t>
      </w:r>
      <w:r w:rsidR="000E4CF5">
        <w:t xml:space="preserve"> </w:t>
      </w:r>
      <w:r w:rsidRPr="00E06F8B">
        <w:t>beliefs</w:t>
      </w:r>
      <w:r w:rsidR="000E4CF5">
        <w:t xml:space="preserve"> </w:t>
      </w:r>
      <w:r w:rsidRPr="00E06F8B">
        <w:t>that</w:t>
      </w:r>
      <w:r w:rsidR="000E4CF5">
        <w:t xml:space="preserve"> </w:t>
      </w:r>
      <w:r w:rsidRPr="00E06F8B">
        <w:t>emerge</w:t>
      </w:r>
      <w:r w:rsidR="000E4CF5">
        <w:t xml:space="preserve"> </w:t>
      </w:r>
      <w:r w:rsidRPr="00E06F8B">
        <w:t>from</w:t>
      </w:r>
      <w:r w:rsidR="000E4CF5">
        <w:t xml:space="preserve"> </w:t>
      </w:r>
      <w:r w:rsidRPr="00E06F8B">
        <w:t>their</w:t>
      </w:r>
      <w:r w:rsidR="000E4CF5">
        <w:t xml:space="preserve"> </w:t>
      </w:r>
      <w:r w:rsidRPr="00E06F8B">
        <w:t>development</w:t>
      </w:r>
      <w:r w:rsidR="000E4CF5">
        <w:t xml:space="preserve"> </w:t>
      </w:r>
      <w:r w:rsidRPr="00E06F8B">
        <w:t>as</w:t>
      </w:r>
      <w:r w:rsidR="000E4CF5">
        <w:t xml:space="preserve"> </w:t>
      </w:r>
      <w:r w:rsidRPr="00E06F8B">
        <w:t>teachers</w:t>
      </w:r>
      <w:r w:rsidR="000E4CF5">
        <w:t xml:space="preserve"> </w:t>
      </w:r>
      <w:r w:rsidRPr="00E06F8B">
        <w:t>change</w:t>
      </w:r>
      <w:r w:rsidR="000E4CF5">
        <w:t xml:space="preserve"> </w:t>
      </w:r>
      <w:r w:rsidRPr="00E06F8B">
        <w:t>partly</w:t>
      </w:r>
      <w:r w:rsidR="000E4CF5">
        <w:t xml:space="preserve"> </w:t>
      </w:r>
      <w:r w:rsidRPr="00E06F8B">
        <w:t>as</w:t>
      </w:r>
      <w:r w:rsidR="000E4CF5">
        <w:t xml:space="preserve"> </w:t>
      </w:r>
      <w:r w:rsidRPr="00E06F8B">
        <w:t>a</w:t>
      </w:r>
      <w:r w:rsidR="000E4CF5">
        <w:t xml:space="preserve"> </w:t>
      </w:r>
      <w:r w:rsidRPr="00E06F8B">
        <w:t>function</w:t>
      </w:r>
      <w:r w:rsidR="000E4CF5">
        <w:t xml:space="preserve"> </w:t>
      </w:r>
      <w:r w:rsidRPr="00E06F8B">
        <w:t>of</w:t>
      </w:r>
      <w:r w:rsidR="000E4CF5">
        <w:t xml:space="preserve"> </w:t>
      </w:r>
      <w:r w:rsidRPr="00E06F8B">
        <w:t>the</w:t>
      </w:r>
      <w:r w:rsidR="000E4CF5">
        <w:t xml:space="preserve"> </w:t>
      </w:r>
      <w:r w:rsidRPr="00E06F8B">
        <w:t>level</w:t>
      </w:r>
      <w:r w:rsidR="000E4CF5">
        <w:t xml:space="preserve"> </w:t>
      </w:r>
      <w:r w:rsidRPr="00E06F8B">
        <w:t>of</w:t>
      </w:r>
      <w:r w:rsidR="000E4CF5">
        <w:t xml:space="preserve"> </w:t>
      </w:r>
      <w:r w:rsidRPr="00E06F8B">
        <w:t>specific</w:t>
      </w:r>
      <w:r w:rsidR="000E4CF5">
        <w:t xml:space="preserve"> </w:t>
      </w:r>
      <w:r w:rsidRPr="00E06F8B">
        <w:t>content</w:t>
      </w:r>
      <w:r w:rsidR="000E4CF5">
        <w:t xml:space="preserve"> </w:t>
      </w:r>
      <w:r w:rsidRPr="00E06F8B">
        <w:t>knowledge</w:t>
      </w:r>
      <w:r w:rsidR="000E4CF5">
        <w:t xml:space="preserve"> </w:t>
      </w:r>
      <w:r w:rsidRPr="00E06F8B">
        <w:t>that</w:t>
      </w:r>
      <w:r w:rsidR="000E4CF5">
        <w:t xml:space="preserve"> </w:t>
      </w:r>
      <w:r w:rsidRPr="00E06F8B">
        <w:t>they</w:t>
      </w:r>
      <w:r w:rsidR="000E4CF5">
        <w:t xml:space="preserve"> </w:t>
      </w:r>
      <w:r w:rsidRPr="00E06F8B">
        <w:t>have.</w:t>
      </w:r>
    </w:p>
    <w:p w14:paraId="3F1455EC" w14:textId="77777777" w:rsidR="007D04A1" w:rsidRPr="00E06F8B" w:rsidRDefault="007D04A1" w:rsidP="00E41DCE">
      <w:pPr>
        <w:pStyle w:val="BodyTextFirstIndent"/>
      </w:pPr>
      <w:r w:rsidRPr="00E06F8B">
        <w:t>We</w:t>
      </w:r>
      <w:r w:rsidR="000E4CF5">
        <w:t xml:space="preserve"> </w:t>
      </w:r>
      <w:r w:rsidRPr="00E06F8B">
        <w:t>recognize</w:t>
      </w:r>
      <w:r w:rsidR="000E4CF5">
        <w:t xml:space="preserve"> </w:t>
      </w:r>
      <w:r w:rsidRPr="00E06F8B">
        <w:t>that</w:t>
      </w:r>
      <w:r w:rsidR="000E4CF5">
        <w:t xml:space="preserve"> </w:t>
      </w:r>
      <w:r w:rsidRPr="00E06F8B">
        <w:t>the</w:t>
      </w:r>
      <w:r w:rsidR="000E4CF5">
        <w:t xml:space="preserve"> </w:t>
      </w:r>
      <w:r w:rsidRPr="00E06F8B">
        <w:t>level</w:t>
      </w:r>
      <w:r w:rsidR="000E4CF5">
        <w:t xml:space="preserve"> </w:t>
      </w:r>
      <w:r w:rsidRPr="00E06F8B">
        <w:t>of</w:t>
      </w:r>
      <w:r w:rsidR="000E4CF5">
        <w:t xml:space="preserve"> </w:t>
      </w:r>
      <w:r w:rsidRPr="00E06F8B">
        <w:t>science</w:t>
      </w:r>
      <w:r w:rsidR="000E4CF5">
        <w:t xml:space="preserve"> </w:t>
      </w:r>
      <w:r w:rsidRPr="00E06F8B">
        <w:t>teachers’</w:t>
      </w:r>
      <w:r w:rsidR="000E4CF5">
        <w:t xml:space="preserve"> </w:t>
      </w:r>
      <w:r w:rsidRPr="00E06F8B">
        <w:t>content</w:t>
      </w:r>
      <w:r w:rsidR="000E4CF5">
        <w:t xml:space="preserve"> </w:t>
      </w:r>
      <w:r w:rsidRPr="00E06F8B">
        <w:t>knowledge</w:t>
      </w:r>
      <w:r w:rsidR="000E4CF5">
        <w:t xml:space="preserve"> </w:t>
      </w:r>
      <w:r w:rsidRPr="00E06F8B">
        <w:t>is</w:t>
      </w:r>
      <w:r w:rsidR="000E4CF5">
        <w:t xml:space="preserve"> </w:t>
      </w:r>
      <w:r w:rsidRPr="00E06F8B">
        <w:t>not</w:t>
      </w:r>
      <w:r w:rsidR="000E4CF5">
        <w:t xml:space="preserve"> </w:t>
      </w:r>
      <w:r w:rsidRPr="00E06F8B">
        <w:t>simply</w:t>
      </w:r>
      <w:r w:rsidR="000E4CF5">
        <w:t xml:space="preserve"> </w:t>
      </w:r>
      <w:r w:rsidRPr="00E06F8B">
        <w:t>a</w:t>
      </w:r>
      <w:r w:rsidR="000E4CF5">
        <w:t xml:space="preserve"> </w:t>
      </w:r>
      <w:r w:rsidRPr="00E06F8B">
        <w:t>function</w:t>
      </w:r>
      <w:r w:rsidR="000E4CF5">
        <w:t xml:space="preserve"> </w:t>
      </w:r>
      <w:r w:rsidRPr="00E06F8B">
        <w:t>of</w:t>
      </w:r>
      <w:r w:rsidR="000E4CF5">
        <w:t xml:space="preserve"> </w:t>
      </w:r>
      <w:r w:rsidRPr="00E06F8B">
        <w:t>the</w:t>
      </w:r>
      <w:r w:rsidR="000E4CF5">
        <w:t xml:space="preserve"> </w:t>
      </w:r>
      <w:r w:rsidRPr="00E06F8B">
        <w:t>number</w:t>
      </w:r>
      <w:r w:rsidR="000E4CF5">
        <w:t xml:space="preserve"> </w:t>
      </w:r>
      <w:r w:rsidRPr="00E06F8B">
        <w:t>of</w:t>
      </w:r>
      <w:r w:rsidR="000E4CF5">
        <w:t xml:space="preserve"> </w:t>
      </w:r>
      <w:r w:rsidRPr="00E06F8B">
        <w:t>courses</w:t>
      </w:r>
      <w:r w:rsidR="000E4CF5">
        <w:t xml:space="preserve"> </w:t>
      </w:r>
      <w:r w:rsidRPr="00E06F8B">
        <w:t>the</w:t>
      </w:r>
      <w:r w:rsidR="000E4CF5">
        <w:t xml:space="preserve"> </w:t>
      </w:r>
      <w:r w:rsidRPr="00E06F8B">
        <w:t>science</w:t>
      </w:r>
      <w:r w:rsidR="000E4CF5">
        <w:t xml:space="preserve"> </w:t>
      </w:r>
      <w:r w:rsidRPr="00E06F8B">
        <w:t>teachers</w:t>
      </w:r>
      <w:r w:rsidR="000E4CF5">
        <w:t xml:space="preserve"> </w:t>
      </w:r>
      <w:r w:rsidRPr="00E06F8B">
        <w:t>take</w:t>
      </w:r>
      <w:r w:rsidR="000E4CF5">
        <w:t xml:space="preserve"> </w:t>
      </w:r>
      <w:r w:rsidRPr="00E06F8B">
        <w:t>in</w:t>
      </w:r>
      <w:r w:rsidR="000E4CF5">
        <w:t xml:space="preserve"> </w:t>
      </w:r>
      <w:r w:rsidRPr="00E06F8B">
        <w:t>the</w:t>
      </w:r>
      <w:r w:rsidR="000E4CF5">
        <w:t xml:space="preserve"> </w:t>
      </w:r>
      <w:r w:rsidRPr="00E06F8B">
        <w:t>preservice</w:t>
      </w:r>
      <w:r w:rsidR="000E4CF5">
        <w:t xml:space="preserve"> </w:t>
      </w:r>
      <w:r w:rsidRPr="00E06F8B">
        <w:t>program.</w:t>
      </w:r>
      <w:r w:rsidR="000E4CF5">
        <w:t xml:space="preserve"> </w:t>
      </w:r>
      <w:r w:rsidRPr="00E06F8B">
        <w:t>It</w:t>
      </w:r>
      <w:r w:rsidR="000E4CF5">
        <w:t xml:space="preserve"> </w:t>
      </w:r>
      <w:r w:rsidRPr="00E06F8B">
        <w:t>is</w:t>
      </w:r>
      <w:r w:rsidR="000E4CF5">
        <w:t xml:space="preserve"> </w:t>
      </w:r>
      <w:r w:rsidRPr="00E06F8B">
        <w:t>very</w:t>
      </w:r>
      <w:r w:rsidR="000E4CF5">
        <w:t xml:space="preserve"> </w:t>
      </w:r>
      <w:r w:rsidRPr="00E06F8B">
        <w:t>likely</w:t>
      </w:r>
      <w:r w:rsidR="000E4CF5">
        <w:t xml:space="preserve"> </w:t>
      </w:r>
      <w:r w:rsidRPr="00E06F8B">
        <w:t>that</w:t>
      </w:r>
      <w:r w:rsidR="000E4CF5">
        <w:t xml:space="preserve"> </w:t>
      </w:r>
      <w:r w:rsidRPr="00E06F8B">
        <w:t>there</w:t>
      </w:r>
      <w:r w:rsidR="000E4CF5">
        <w:t xml:space="preserve"> </w:t>
      </w:r>
      <w:r w:rsidRPr="00E06F8B">
        <w:t>are</w:t>
      </w:r>
      <w:r w:rsidR="000E4CF5">
        <w:t xml:space="preserve"> </w:t>
      </w:r>
      <w:r w:rsidRPr="00E06F8B">
        <w:t>also</w:t>
      </w:r>
      <w:r w:rsidR="000E4CF5">
        <w:t xml:space="preserve"> </w:t>
      </w:r>
      <w:r w:rsidRPr="00E06F8B">
        <w:t>differences</w:t>
      </w:r>
      <w:r w:rsidR="000E4CF5">
        <w:t xml:space="preserve"> </w:t>
      </w:r>
      <w:r w:rsidRPr="00E06F8B">
        <w:t>in</w:t>
      </w:r>
      <w:r w:rsidR="000E4CF5">
        <w:t xml:space="preserve"> </w:t>
      </w:r>
      <w:r w:rsidRPr="00E06F8B">
        <w:t>how</w:t>
      </w:r>
      <w:r w:rsidR="000E4CF5">
        <w:t xml:space="preserve"> </w:t>
      </w:r>
      <w:r w:rsidRPr="00E06F8B">
        <w:t>the</w:t>
      </w:r>
      <w:r w:rsidR="000E4CF5">
        <w:t xml:space="preserve"> </w:t>
      </w:r>
      <w:r w:rsidRPr="00E06F8B">
        <w:t>various</w:t>
      </w:r>
      <w:r w:rsidR="000E4CF5">
        <w:t xml:space="preserve"> </w:t>
      </w:r>
      <w:r w:rsidRPr="00E06F8B">
        <w:t>science</w:t>
      </w:r>
      <w:r w:rsidR="000E4CF5">
        <w:t xml:space="preserve"> </w:t>
      </w:r>
      <w:r w:rsidRPr="00E06F8B">
        <w:t>courses</w:t>
      </w:r>
      <w:r w:rsidR="000E4CF5">
        <w:t xml:space="preserve"> </w:t>
      </w:r>
      <w:r w:rsidRPr="00E06F8B">
        <w:t>are</w:t>
      </w:r>
      <w:r w:rsidR="000E4CF5">
        <w:t xml:space="preserve"> </w:t>
      </w:r>
      <w:r w:rsidRPr="00E06F8B">
        <w:t>taught</w:t>
      </w:r>
      <w:r w:rsidR="000E4CF5">
        <w:t xml:space="preserve"> </w:t>
      </w:r>
      <w:r w:rsidRPr="00E06F8B">
        <w:t>in</w:t>
      </w:r>
      <w:r w:rsidR="000E4CF5">
        <w:t xml:space="preserve"> </w:t>
      </w:r>
      <w:r w:rsidRPr="00E06F8B">
        <w:t>different</w:t>
      </w:r>
      <w:r w:rsidR="000E4CF5">
        <w:t xml:space="preserve"> </w:t>
      </w:r>
      <w:r w:rsidRPr="00E06F8B">
        <w:t>preservice</w:t>
      </w:r>
      <w:r w:rsidR="000E4CF5">
        <w:t xml:space="preserve"> </w:t>
      </w:r>
      <w:r w:rsidRPr="00E06F8B">
        <w:t>teacher</w:t>
      </w:r>
      <w:r w:rsidR="000E4CF5">
        <w:t xml:space="preserve"> </w:t>
      </w:r>
      <w:r w:rsidRPr="00E06F8B">
        <w:t>education</w:t>
      </w:r>
      <w:r w:rsidR="000E4CF5">
        <w:t xml:space="preserve"> </w:t>
      </w:r>
      <w:r w:rsidRPr="00E06F8B">
        <w:t>programs</w:t>
      </w:r>
      <w:r w:rsidR="000E4CF5">
        <w:t xml:space="preserve"> </w:t>
      </w:r>
      <w:r w:rsidRPr="00E06F8B">
        <w:t>in</w:t>
      </w:r>
      <w:r w:rsidR="000E4CF5">
        <w:t xml:space="preserve"> </w:t>
      </w:r>
      <w:r w:rsidRPr="00E06F8B">
        <w:t>the</w:t>
      </w:r>
      <w:r w:rsidR="000E4CF5">
        <w:t xml:space="preserve"> </w:t>
      </w:r>
      <w:r w:rsidRPr="00E06F8B">
        <w:t>Philippines.</w:t>
      </w:r>
      <w:r w:rsidR="000E4CF5">
        <w:t xml:space="preserve"> </w:t>
      </w:r>
      <w:r w:rsidRPr="00E06F8B">
        <w:t>Indeed,</w:t>
      </w:r>
      <w:r w:rsidR="000E4CF5">
        <w:t xml:space="preserve"> </w:t>
      </w:r>
      <w:r w:rsidRPr="00E06F8B">
        <w:t>there</w:t>
      </w:r>
      <w:r w:rsidR="000E4CF5">
        <w:t xml:space="preserve"> </w:t>
      </w:r>
      <w:r w:rsidRPr="00E06F8B">
        <w:t>may</w:t>
      </w:r>
      <w:r w:rsidR="000E4CF5">
        <w:t xml:space="preserve"> </w:t>
      </w:r>
      <w:r w:rsidRPr="00E06F8B">
        <w:t>even</w:t>
      </w:r>
      <w:r w:rsidR="000E4CF5">
        <w:t xml:space="preserve"> </w:t>
      </w:r>
      <w:r w:rsidRPr="00E06F8B">
        <w:t>be</w:t>
      </w:r>
      <w:r w:rsidR="000E4CF5">
        <w:t xml:space="preserve"> </w:t>
      </w:r>
      <w:r w:rsidRPr="00E06F8B">
        <w:t>a</w:t>
      </w:r>
      <w:r w:rsidR="000E4CF5">
        <w:t xml:space="preserve"> </w:t>
      </w:r>
      <w:r w:rsidRPr="00E06F8B">
        <w:t>poss</w:t>
      </w:r>
      <w:r w:rsidRPr="00E06F8B">
        <w:t>i</w:t>
      </w:r>
      <w:r w:rsidRPr="00E06F8B">
        <w:t>bility</w:t>
      </w:r>
      <w:r w:rsidR="000E4CF5">
        <w:t xml:space="preserve"> </w:t>
      </w:r>
      <w:r w:rsidRPr="00E06F8B">
        <w:t>that</w:t>
      </w:r>
      <w:r w:rsidR="000E4CF5">
        <w:t xml:space="preserve"> </w:t>
      </w:r>
      <w:r w:rsidRPr="00E06F8B">
        <w:t>the</w:t>
      </w:r>
      <w:r w:rsidR="000E4CF5">
        <w:t xml:space="preserve"> </w:t>
      </w:r>
      <w:r w:rsidRPr="00E06F8B">
        <w:t>content</w:t>
      </w:r>
      <w:r w:rsidR="000E4CF5">
        <w:t xml:space="preserve"> </w:t>
      </w:r>
      <w:r w:rsidRPr="00E06F8B">
        <w:t>and</w:t>
      </w:r>
      <w:r w:rsidR="000E4CF5">
        <w:t xml:space="preserve"> </w:t>
      </w:r>
      <w:r w:rsidRPr="00E06F8B">
        <w:t>pedagogy</w:t>
      </w:r>
      <w:r w:rsidR="000E4CF5">
        <w:t xml:space="preserve"> </w:t>
      </w:r>
      <w:r w:rsidRPr="00E06F8B">
        <w:t>of</w:t>
      </w:r>
      <w:r w:rsidR="000E4CF5">
        <w:t xml:space="preserve"> </w:t>
      </w:r>
      <w:r w:rsidRPr="00E06F8B">
        <w:t>these</w:t>
      </w:r>
      <w:r w:rsidR="000E4CF5">
        <w:t xml:space="preserve"> </w:t>
      </w:r>
      <w:r w:rsidRPr="00E06F8B">
        <w:t>science</w:t>
      </w:r>
      <w:r w:rsidR="000E4CF5">
        <w:t xml:space="preserve"> </w:t>
      </w:r>
      <w:r w:rsidRPr="00E06F8B">
        <w:t>courses</w:t>
      </w:r>
      <w:r w:rsidR="000E4CF5">
        <w:t xml:space="preserve"> </w:t>
      </w:r>
      <w:r w:rsidRPr="00E06F8B">
        <w:t>vary</w:t>
      </w:r>
      <w:r w:rsidR="000E4CF5">
        <w:t xml:space="preserve"> </w:t>
      </w:r>
      <w:r w:rsidRPr="00E06F8B">
        <w:t>depen</w:t>
      </w:r>
      <w:r w:rsidRPr="00E06F8B">
        <w:t>d</w:t>
      </w:r>
      <w:r w:rsidRPr="00E06F8B">
        <w:t>ing</w:t>
      </w:r>
      <w:r w:rsidR="000E4CF5">
        <w:t xml:space="preserve"> </w:t>
      </w:r>
      <w:r w:rsidRPr="00E06F8B">
        <w:t>on</w:t>
      </w:r>
      <w:r w:rsidR="000E4CF5">
        <w:t xml:space="preserve"> </w:t>
      </w:r>
      <w:r w:rsidRPr="00E06F8B">
        <w:t>whether</w:t>
      </w:r>
      <w:r w:rsidR="000E4CF5">
        <w:t xml:space="preserve"> </w:t>
      </w:r>
      <w:r w:rsidRPr="00E06F8B">
        <w:t>the</w:t>
      </w:r>
      <w:r w:rsidR="000E4CF5">
        <w:t xml:space="preserve"> </w:t>
      </w:r>
      <w:r w:rsidRPr="00E06F8B">
        <w:t>students</w:t>
      </w:r>
      <w:r w:rsidR="000E4CF5">
        <w:t xml:space="preserve"> </w:t>
      </w:r>
      <w:r w:rsidRPr="00E06F8B">
        <w:t>are</w:t>
      </w:r>
      <w:r w:rsidR="000E4CF5">
        <w:t xml:space="preserve"> </w:t>
      </w:r>
      <w:r w:rsidRPr="00E06F8B">
        <w:t>intending</w:t>
      </w:r>
      <w:r w:rsidR="000E4CF5">
        <w:t xml:space="preserve"> </w:t>
      </w:r>
      <w:r w:rsidRPr="00E06F8B">
        <w:t>to</w:t>
      </w:r>
      <w:r w:rsidR="000E4CF5">
        <w:t xml:space="preserve"> </w:t>
      </w:r>
      <w:r w:rsidRPr="00E06F8B">
        <w:t>be</w:t>
      </w:r>
      <w:r w:rsidR="000E4CF5">
        <w:t xml:space="preserve"> </w:t>
      </w:r>
      <w:r w:rsidRPr="00E06F8B">
        <w:t>primary</w:t>
      </w:r>
      <w:r w:rsidR="000E4CF5">
        <w:t xml:space="preserve"> </w:t>
      </w:r>
      <w:r w:rsidRPr="00E06F8B">
        <w:t>school</w:t>
      </w:r>
      <w:r w:rsidR="000E4CF5">
        <w:t xml:space="preserve"> </w:t>
      </w:r>
      <w:r w:rsidRPr="00E06F8B">
        <w:t>or</w:t>
      </w:r>
      <w:r w:rsidR="000E4CF5">
        <w:t xml:space="preserve"> </w:t>
      </w:r>
      <w:r w:rsidRPr="00E06F8B">
        <w:t>secon</w:t>
      </w:r>
      <w:r w:rsidRPr="00E06F8B">
        <w:t>d</w:t>
      </w:r>
      <w:r w:rsidRPr="00E06F8B">
        <w:t>ary</w:t>
      </w:r>
      <w:r w:rsidR="000E4CF5">
        <w:t xml:space="preserve"> </w:t>
      </w:r>
      <w:r w:rsidRPr="00E06F8B">
        <w:t>school</w:t>
      </w:r>
      <w:r w:rsidR="000E4CF5">
        <w:t xml:space="preserve"> </w:t>
      </w:r>
      <w:r w:rsidRPr="00E06F8B">
        <w:t>teachers,</w:t>
      </w:r>
      <w:r w:rsidR="000E4CF5">
        <w:t xml:space="preserve"> </w:t>
      </w:r>
      <w:r w:rsidRPr="00E06F8B">
        <w:t>or</w:t>
      </w:r>
      <w:r w:rsidR="000E4CF5">
        <w:t xml:space="preserve"> </w:t>
      </w:r>
      <w:r w:rsidRPr="00E06F8B">
        <w:t>whether</w:t>
      </w:r>
      <w:r w:rsidR="000E4CF5">
        <w:t xml:space="preserve"> </w:t>
      </w:r>
      <w:r w:rsidRPr="00E06F8B">
        <w:t>they</w:t>
      </w:r>
      <w:r w:rsidR="000E4CF5">
        <w:t xml:space="preserve"> </w:t>
      </w:r>
      <w:r w:rsidRPr="00E06F8B">
        <w:t>are</w:t>
      </w:r>
      <w:r w:rsidR="000E4CF5">
        <w:t xml:space="preserve"> </w:t>
      </w:r>
      <w:r w:rsidRPr="00E06F8B">
        <w:t>science</w:t>
      </w:r>
      <w:r w:rsidR="000E4CF5">
        <w:t xml:space="preserve"> </w:t>
      </w:r>
      <w:r w:rsidRPr="00E06F8B">
        <w:t>majors</w:t>
      </w:r>
      <w:r w:rsidR="000E4CF5">
        <w:t xml:space="preserve"> </w:t>
      </w:r>
      <w:r w:rsidRPr="00E06F8B">
        <w:t>or</w:t>
      </w:r>
      <w:r w:rsidR="000E4CF5">
        <w:t xml:space="preserve"> </w:t>
      </w:r>
      <w:r w:rsidRPr="00E06F8B">
        <w:t>non-science</w:t>
      </w:r>
      <w:r w:rsidR="000E4CF5">
        <w:t xml:space="preserve"> </w:t>
      </w:r>
      <w:r w:rsidRPr="00E06F8B">
        <w:t>majors.</w:t>
      </w:r>
      <w:r w:rsidR="000E4CF5">
        <w:t xml:space="preserve"> </w:t>
      </w:r>
      <w:r w:rsidRPr="00E06F8B">
        <w:t>If</w:t>
      </w:r>
      <w:r w:rsidR="000E4CF5">
        <w:t xml:space="preserve"> </w:t>
      </w:r>
      <w:r w:rsidRPr="00E06F8B">
        <w:t>so,</w:t>
      </w:r>
      <w:r w:rsidR="000E4CF5">
        <w:t xml:space="preserve"> </w:t>
      </w:r>
      <w:r w:rsidRPr="00E06F8B">
        <w:t>there</w:t>
      </w:r>
      <w:r w:rsidR="000E4CF5">
        <w:t xml:space="preserve"> </w:t>
      </w:r>
      <w:r w:rsidRPr="00E06F8B">
        <w:t>is</w:t>
      </w:r>
      <w:r w:rsidR="000E4CF5">
        <w:t xml:space="preserve"> </w:t>
      </w:r>
      <w:r w:rsidRPr="00E06F8B">
        <w:t>a</w:t>
      </w:r>
      <w:r w:rsidR="000E4CF5">
        <w:t xml:space="preserve"> </w:t>
      </w:r>
      <w:r w:rsidRPr="00E06F8B">
        <w:t>possibility</w:t>
      </w:r>
      <w:r w:rsidR="000E4CF5">
        <w:t xml:space="preserve"> </w:t>
      </w:r>
      <w:r w:rsidRPr="00E06F8B">
        <w:t>that</w:t>
      </w:r>
      <w:r w:rsidR="000E4CF5">
        <w:t xml:space="preserve"> </w:t>
      </w:r>
      <w:r w:rsidRPr="00E06F8B">
        <w:t>it</w:t>
      </w:r>
      <w:r w:rsidR="000E4CF5">
        <w:t xml:space="preserve"> </w:t>
      </w:r>
      <w:r w:rsidRPr="00E06F8B">
        <w:t>is</w:t>
      </w:r>
      <w:r w:rsidR="000E4CF5">
        <w:t xml:space="preserve"> </w:t>
      </w:r>
      <w:r w:rsidRPr="00E06F8B">
        <w:t>not</w:t>
      </w:r>
      <w:r w:rsidR="000E4CF5">
        <w:t xml:space="preserve"> </w:t>
      </w:r>
      <w:r w:rsidRPr="00E06F8B">
        <w:t>the</w:t>
      </w:r>
      <w:r w:rsidR="000E4CF5">
        <w:t xml:space="preserve"> </w:t>
      </w:r>
      <w:r w:rsidRPr="00E06F8B">
        <w:t>number</w:t>
      </w:r>
      <w:r w:rsidR="000E4CF5">
        <w:t xml:space="preserve"> </w:t>
      </w:r>
      <w:r w:rsidRPr="00E06F8B">
        <w:t>of</w:t>
      </w:r>
      <w:r w:rsidR="000E4CF5">
        <w:t xml:space="preserve"> </w:t>
      </w:r>
      <w:r w:rsidRPr="00E06F8B">
        <w:t>science</w:t>
      </w:r>
      <w:r w:rsidR="000E4CF5">
        <w:t xml:space="preserve"> </w:t>
      </w:r>
      <w:r w:rsidRPr="00E06F8B">
        <w:t>courses</w:t>
      </w:r>
      <w:r w:rsidR="000E4CF5">
        <w:t xml:space="preserve"> </w:t>
      </w:r>
      <w:r w:rsidRPr="00E06F8B">
        <w:t>taken</w:t>
      </w:r>
      <w:r w:rsidR="000E4CF5">
        <w:t xml:space="preserve"> </w:t>
      </w:r>
      <w:r w:rsidRPr="00E06F8B">
        <w:t>that</w:t>
      </w:r>
      <w:r w:rsidR="000E4CF5">
        <w:t xml:space="preserve"> </w:t>
      </w:r>
      <w:r w:rsidRPr="00E06F8B">
        <w:t>makes</w:t>
      </w:r>
      <w:r w:rsidR="000E4CF5">
        <w:t xml:space="preserve"> </w:t>
      </w:r>
      <w:r w:rsidRPr="00E06F8B">
        <w:t>a</w:t>
      </w:r>
      <w:r w:rsidR="000E4CF5">
        <w:t xml:space="preserve"> </w:t>
      </w:r>
      <w:r w:rsidRPr="00E06F8B">
        <w:t>difference,</w:t>
      </w:r>
      <w:r w:rsidR="000E4CF5">
        <w:t xml:space="preserve"> </w:t>
      </w:r>
      <w:r w:rsidRPr="00E06F8B">
        <w:t>but</w:t>
      </w:r>
      <w:r w:rsidR="000E4CF5">
        <w:t xml:space="preserve"> </w:t>
      </w:r>
      <w:r w:rsidRPr="00E06F8B">
        <w:t>the</w:t>
      </w:r>
      <w:r w:rsidR="000E4CF5">
        <w:t xml:space="preserve"> </w:t>
      </w:r>
      <w:r w:rsidRPr="00E06F8B">
        <w:t>content</w:t>
      </w:r>
      <w:r w:rsidR="000E4CF5">
        <w:t xml:space="preserve"> </w:t>
      </w:r>
      <w:r w:rsidRPr="00E06F8B">
        <w:t>and</w:t>
      </w:r>
      <w:r w:rsidR="000E4CF5">
        <w:t xml:space="preserve"> </w:t>
      </w:r>
      <w:r w:rsidRPr="00E06F8B">
        <w:t>pedagogy</w:t>
      </w:r>
      <w:r w:rsidR="000E4CF5">
        <w:t xml:space="preserve"> </w:t>
      </w:r>
      <w:r w:rsidRPr="00E06F8B">
        <w:t>of</w:t>
      </w:r>
      <w:r w:rsidR="000E4CF5">
        <w:t xml:space="preserve"> </w:t>
      </w:r>
      <w:r w:rsidRPr="00E06F8B">
        <w:t>these</w:t>
      </w:r>
      <w:r w:rsidR="000E4CF5">
        <w:t xml:space="preserve"> </w:t>
      </w:r>
      <w:r w:rsidRPr="00E06F8B">
        <w:t>courses.</w:t>
      </w:r>
      <w:r w:rsidR="000E4CF5">
        <w:t xml:space="preserve"> </w:t>
      </w:r>
      <w:r w:rsidRPr="00E06F8B">
        <w:t>These</w:t>
      </w:r>
      <w:r w:rsidR="000E4CF5">
        <w:t xml:space="preserve"> </w:t>
      </w:r>
      <w:r w:rsidRPr="00E06F8B">
        <w:t>possibilities</w:t>
      </w:r>
      <w:r w:rsidR="000E4CF5">
        <w:t xml:space="preserve"> </w:t>
      </w:r>
      <w:r w:rsidRPr="00E06F8B">
        <w:t>can</w:t>
      </w:r>
      <w:r w:rsidR="000E4CF5">
        <w:t xml:space="preserve"> </w:t>
      </w:r>
      <w:r w:rsidRPr="00E06F8B">
        <w:t>be</w:t>
      </w:r>
      <w:r w:rsidR="000E4CF5">
        <w:t xml:space="preserve"> </w:t>
      </w:r>
      <w:r w:rsidRPr="00E06F8B">
        <w:t>explored</w:t>
      </w:r>
      <w:r w:rsidR="000E4CF5">
        <w:t xml:space="preserve"> </w:t>
      </w:r>
      <w:r w:rsidRPr="00E06F8B">
        <w:t>and</w:t>
      </w:r>
      <w:r w:rsidR="000E4CF5">
        <w:t xml:space="preserve"> </w:t>
      </w:r>
      <w:r w:rsidRPr="00E06F8B">
        <w:t>ruled</w:t>
      </w:r>
      <w:r w:rsidR="000E4CF5">
        <w:t xml:space="preserve"> </w:t>
      </w:r>
      <w:r w:rsidRPr="00E06F8B">
        <w:t>out</w:t>
      </w:r>
      <w:r w:rsidR="000E4CF5">
        <w:t xml:space="preserve"> </w:t>
      </w:r>
      <w:r w:rsidRPr="00E06F8B">
        <w:t>in</w:t>
      </w:r>
      <w:r w:rsidR="000E4CF5">
        <w:t xml:space="preserve"> </w:t>
      </w:r>
      <w:r w:rsidRPr="00E06F8B">
        <w:t>future</w:t>
      </w:r>
      <w:r w:rsidR="000E4CF5">
        <w:t xml:space="preserve"> </w:t>
      </w:r>
      <w:r w:rsidRPr="00E06F8B">
        <w:t>research.</w:t>
      </w:r>
    </w:p>
    <w:p w14:paraId="0A310EC3" w14:textId="77777777" w:rsidR="007D04A1" w:rsidRPr="00E06F8B" w:rsidRDefault="007D04A1" w:rsidP="00433228">
      <w:pPr>
        <w:pStyle w:val="Heading1"/>
      </w:pPr>
      <w:r w:rsidRPr="00E06F8B">
        <w:t>Acknowledgements</w:t>
      </w:r>
    </w:p>
    <w:p w14:paraId="17100205" w14:textId="77777777" w:rsidR="00B90BA5" w:rsidRPr="00E06F8B" w:rsidRDefault="007D04A1" w:rsidP="00B90BA5">
      <w:r w:rsidRPr="00E06F8B">
        <w:t>The</w:t>
      </w:r>
      <w:r w:rsidR="000E4CF5">
        <w:t xml:space="preserve"> </w:t>
      </w:r>
      <w:r w:rsidRPr="00E06F8B">
        <w:t>study</w:t>
      </w:r>
      <w:r w:rsidR="000E4CF5">
        <w:t xml:space="preserve"> </w:t>
      </w:r>
      <w:r w:rsidRPr="00E06F8B">
        <w:t>was</w:t>
      </w:r>
      <w:r w:rsidR="000E4CF5">
        <w:t xml:space="preserve"> </w:t>
      </w:r>
      <w:r w:rsidRPr="00E06F8B">
        <w:t>supported</w:t>
      </w:r>
      <w:r w:rsidR="000E4CF5">
        <w:t xml:space="preserve"> </w:t>
      </w:r>
      <w:r w:rsidRPr="00E06F8B">
        <w:t>by</w:t>
      </w:r>
      <w:r w:rsidR="000E4CF5">
        <w:t xml:space="preserve"> </w:t>
      </w:r>
      <w:r w:rsidRPr="00E06F8B">
        <w:t>a</w:t>
      </w:r>
      <w:r w:rsidR="000E4CF5">
        <w:t xml:space="preserve"> </w:t>
      </w:r>
      <w:r w:rsidRPr="00E06F8B">
        <w:t>grant</w:t>
      </w:r>
      <w:r w:rsidR="000E4CF5">
        <w:t xml:space="preserve"> </w:t>
      </w:r>
      <w:r w:rsidRPr="00E06F8B">
        <w:t>from</w:t>
      </w:r>
      <w:r w:rsidR="000E4CF5">
        <w:t xml:space="preserve"> </w:t>
      </w:r>
      <w:r w:rsidRPr="00E06F8B">
        <w:t>the</w:t>
      </w:r>
      <w:r w:rsidR="000E4CF5">
        <w:t xml:space="preserve"> </w:t>
      </w:r>
      <w:r w:rsidRPr="00E06F8B">
        <w:t>Science</w:t>
      </w:r>
      <w:r w:rsidR="000E4CF5">
        <w:t xml:space="preserve"> </w:t>
      </w:r>
      <w:r w:rsidRPr="00E06F8B">
        <w:t>Education</w:t>
      </w:r>
      <w:r w:rsidR="000E4CF5">
        <w:t xml:space="preserve"> </w:t>
      </w:r>
      <w:r w:rsidRPr="00E06F8B">
        <w:t>Institute,</w:t>
      </w:r>
      <w:r w:rsidR="000E4CF5">
        <w:t xml:space="preserve"> </w:t>
      </w:r>
      <w:r w:rsidRPr="00E06F8B">
        <w:t>Department</w:t>
      </w:r>
      <w:r w:rsidR="000E4CF5">
        <w:t xml:space="preserve"> </w:t>
      </w:r>
      <w:r w:rsidRPr="00E06F8B">
        <w:t>of</w:t>
      </w:r>
      <w:r w:rsidR="000E4CF5">
        <w:t xml:space="preserve"> </w:t>
      </w:r>
      <w:r w:rsidRPr="00E06F8B">
        <w:t>Science</w:t>
      </w:r>
      <w:r w:rsidR="000E4CF5">
        <w:t xml:space="preserve"> </w:t>
      </w:r>
      <w:r w:rsidRPr="00E06F8B">
        <w:t>and</w:t>
      </w:r>
      <w:r w:rsidR="000E4CF5">
        <w:t xml:space="preserve"> </w:t>
      </w:r>
      <w:r w:rsidRPr="00E06F8B">
        <w:t>Technology</w:t>
      </w:r>
      <w:r w:rsidR="000E4CF5">
        <w:t xml:space="preserve"> </w:t>
      </w:r>
      <w:r w:rsidR="00B90BA5" w:rsidRPr="00E06F8B">
        <w:t>to</w:t>
      </w:r>
      <w:r w:rsidR="000E4CF5">
        <w:t xml:space="preserve"> </w:t>
      </w:r>
      <w:r w:rsidR="00B90BA5" w:rsidRPr="00E06F8B">
        <w:t>the</w:t>
      </w:r>
      <w:r w:rsidR="000E4CF5">
        <w:t xml:space="preserve"> </w:t>
      </w:r>
      <w:r w:rsidR="00B90BA5" w:rsidRPr="00E06F8B">
        <w:t>first</w:t>
      </w:r>
      <w:r w:rsidR="000E4CF5">
        <w:t xml:space="preserve"> </w:t>
      </w:r>
      <w:r w:rsidR="00B90BA5" w:rsidRPr="00E06F8B">
        <w:t>author.</w:t>
      </w:r>
      <w:r w:rsidR="000E4CF5">
        <w:t xml:space="preserve"> </w:t>
      </w:r>
    </w:p>
    <w:p w14:paraId="5C2A2F9D" w14:textId="77777777" w:rsidR="007D04A1" w:rsidRPr="00E06F8B" w:rsidRDefault="007D04A1" w:rsidP="00433228">
      <w:pPr>
        <w:pStyle w:val="Heading1"/>
      </w:pPr>
      <w:r w:rsidRPr="00E06F8B">
        <w:lastRenderedPageBreak/>
        <w:t>References</w:t>
      </w:r>
    </w:p>
    <w:p w14:paraId="597183E8" w14:textId="77777777" w:rsidR="007D04A1" w:rsidRPr="00E06F8B" w:rsidRDefault="007D04A1" w:rsidP="00B90BA5">
      <w:pPr>
        <w:pStyle w:val="SEI-ReferenceList"/>
      </w:pPr>
      <w:r w:rsidRPr="00E06F8B">
        <w:t>Appleton,</w:t>
      </w:r>
      <w:r w:rsidR="000E4CF5">
        <w:t xml:space="preserve"> </w:t>
      </w:r>
      <w:r w:rsidRPr="00E06F8B">
        <w:t>K.,</w:t>
      </w:r>
      <w:r w:rsidR="000E4CF5">
        <w:t xml:space="preserve"> </w:t>
      </w:r>
      <w:r w:rsidRPr="00E06F8B">
        <w:t>&amp;</w:t>
      </w:r>
      <w:r w:rsidR="000E4CF5">
        <w:t xml:space="preserve"> </w:t>
      </w:r>
      <w:proofErr w:type="spellStart"/>
      <w:r w:rsidRPr="00E06F8B">
        <w:t>Asoko</w:t>
      </w:r>
      <w:proofErr w:type="spellEnd"/>
      <w:r w:rsidRPr="00E06F8B">
        <w:t>,</w:t>
      </w:r>
      <w:r w:rsidR="000E4CF5">
        <w:t xml:space="preserve"> </w:t>
      </w:r>
      <w:r w:rsidRPr="00E06F8B">
        <w:t>H.</w:t>
      </w:r>
      <w:r w:rsidR="000E4CF5">
        <w:t xml:space="preserve"> </w:t>
      </w:r>
      <w:r w:rsidRPr="00E06F8B">
        <w:t>(1996).</w:t>
      </w:r>
      <w:r w:rsidR="000E4CF5">
        <w:t xml:space="preserve"> </w:t>
      </w:r>
      <w:proofErr w:type="gramStart"/>
      <w:r w:rsidRPr="00E06F8B">
        <w:t>A</w:t>
      </w:r>
      <w:r w:rsidR="000E4CF5">
        <w:t xml:space="preserve"> </w:t>
      </w:r>
      <w:r w:rsidRPr="00E06F8B">
        <w:t>case</w:t>
      </w:r>
      <w:r w:rsidR="000E4CF5">
        <w:t xml:space="preserve"> </w:t>
      </w:r>
      <w:r w:rsidRPr="00E06F8B">
        <w:t>study</w:t>
      </w:r>
      <w:r w:rsidR="000E4CF5">
        <w:t xml:space="preserve"> </w:t>
      </w:r>
      <w:r w:rsidRPr="00E06F8B">
        <w:t>of</w:t>
      </w:r>
      <w:r w:rsidR="000E4CF5">
        <w:t xml:space="preserve"> </w:t>
      </w:r>
      <w:r w:rsidRPr="00E06F8B">
        <w:t>a</w:t>
      </w:r>
      <w:r w:rsidR="000E4CF5">
        <w:t xml:space="preserve"> </w:t>
      </w:r>
      <w:r w:rsidRPr="00E06F8B">
        <w:t>teacher’s</w:t>
      </w:r>
      <w:r w:rsidR="000E4CF5">
        <w:t xml:space="preserve"> </w:t>
      </w:r>
      <w:r w:rsidRPr="00E06F8B">
        <w:t>progress</w:t>
      </w:r>
      <w:r w:rsidR="000E4CF5">
        <w:t xml:space="preserve"> </w:t>
      </w:r>
      <w:r w:rsidRPr="00E06F8B">
        <w:t>toward</w:t>
      </w:r>
      <w:r w:rsidR="000E4CF5">
        <w:t xml:space="preserve"> </w:t>
      </w:r>
      <w:r w:rsidRPr="00E06F8B">
        <w:t>using</w:t>
      </w:r>
      <w:r w:rsidR="000E4CF5">
        <w:t xml:space="preserve"> </w:t>
      </w:r>
      <w:r w:rsidRPr="00E06F8B">
        <w:t>a</w:t>
      </w:r>
      <w:r w:rsidR="000E4CF5">
        <w:t xml:space="preserve"> </w:t>
      </w:r>
      <w:r w:rsidRPr="00E06F8B">
        <w:t>constructivist</w:t>
      </w:r>
      <w:r w:rsidR="000E4CF5">
        <w:t xml:space="preserve"> </w:t>
      </w:r>
      <w:r w:rsidRPr="00E06F8B">
        <w:t>view</w:t>
      </w:r>
      <w:r w:rsidR="000E4CF5">
        <w:t xml:space="preserve"> </w:t>
      </w:r>
      <w:r w:rsidRPr="00E06F8B">
        <w:t>of</w:t>
      </w:r>
      <w:r w:rsidR="000E4CF5">
        <w:t xml:space="preserve"> </w:t>
      </w:r>
      <w:r w:rsidRPr="00E06F8B">
        <w:t>learning</w:t>
      </w:r>
      <w:r w:rsidR="000E4CF5">
        <w:t xml:space="preserve"> </w:t>
      </w:r>
      <w:r w:rsidRPr="00E06F8B">
        <w:t>to</w:t>
      </w:r>
      <w:r w:rsidR="000E4CF5">
        <w:t xml:space="preserve"> </w:t>
      </w:r>
      <w:r w:rsidRPr="00E06F8B">
        <w:t>inform</w:t>
      </w:r>
      <w:r w:rsidR="000E4CF5">
        <w:t xml:space="preserve"> </w:t>
      </w:r>
      <w:r w:rsidRPr="00E06F8B">
        <w:t>teaching</w:t>
      </w:r>
      <w:r w:rsidR="000E4CF5">
        <w:t xml:space="preserve"> </w:t>
      </w:r>
      <w:r w:rsidRPr="00E06F8B">
        <w:t>in</w:t>
      </w:r>
      <w:r w:rsidR="000E4CF5">
        <w:t xml:space="preserve"> </w:t>
      </w:r>
      <w:r w:rsidRPr="00E06F8B">
        <w:t>elementary</w:t>
      </w:r>
      <w:r w:rsidR="000E4CF5">
        <w:t xml:space="preserve"> </w:t>
      </w:r>
      <w:r w:rsidRPr="00E06F8B">
        <w:t>science.</w:t>
      </w:r>
      <w:proofErr w:type="gramEnd"/>
      <w:r w:rsidR="000E4CF5">
        <w:t xml:space="preserve"> </w:t>
      </w:r>
      <w:proofErr w:type="gramStart"/>
      <w:r w:rsidRPr="00E06F8B">
        <w:rPr>
          <w:i/>
        </w:rPr>
        <w:t>Science</w:t>
      </w:r>
      <w:r w:rsidR="000E4CF5">
        <w:rPr>
          <w:i/>
        </w:rPr>
        <w:t xml:space="preserve"> </w:t>
      </w:r>
      <w:r w:rsidRPr="00E06F8B">
        <w:rPr>
          <w:i/>
        </w:rPr>
        <w:t>Education,</w:t>
      </w:r>
      <w:r w:rsidR="000E4CF5">
        <w:rPr>
          <w:i/>
        </w:rPr>
        <w:t xml:space="preserve"> </w:t>
      </w:r>
      <w:r w:rsidRPr="00E06F8B">
        <w:rPr>
          <w:i/>
        </w:rPr>
        <w:t>80</w:t>
      </w:r>
      <w:r w:rsidR="002E4E67">
        <w:t>(2)</w:t>
      </w:r>
      <w:r w:rsidRPr="00E06F8B">
        <w:rPr>
          <w:i/>
        </w:rPr>
        <w:t>,</w:t>
      </w:r>
      <w:r w:rsidR="000E4CF5">
        <w:rPr>
          <w:i/>
        </w:rPr>
        <w:t xml:space="preserve"> </w:t>
      </w:r>
      <w:r w:rsidRPr="00E06F8B">
        <w:t>165-180.</w:t>
      </w:r>
      <w:proofErr w:type="gramEnd"/>
    </w:p>
    <w:p w14:paraId="72DE4E5E" w14:textId="77777777" w:rsidR="007D04A1" w:rsidRPr="00E06F8B" w:rsidRDefault="007D04A1" w:rsidP="00B90BA5">
      <w:pPr>
        <w:pStyle w:val="SEI-ReferenceList"/>
      </w:pPr>
      <w:proofErr w:type="spellStart"/>
      <w:proofErr w:type="gramStart"/>
      <w:r w:rsidRPr="00E06F8B">
        <w:t>Atweh</w:t>
      </w:r>
      <w:proofErr w:type="spellEnd"/>
      <w:r w:rsidRPr="00E06F8B">
        <w:t>,</w:t>
      </w:r>
      <w:r w:rsidR="000E4CF5">
        <w:t xml:space="preserve"> </w:t>
      </w:r>
      <w:r w:rsidRPr="00E06F8B">
        <w:t>B.,</w:t>
      </w:r>
      <w:r w:rsidR="000E4CF5">
        <w:t xml:space="preserve"> </w:t>
      </w:r>
      <w:r w:rsidRPr="00E06F8B">
        <w:t>&amp;</w:t>
      </w:r>
      <w:r w:rsidR="000E4CF5">
        <w:t xml:space="preserve"> </w:t>
      </w:r>
      <w:proofErr w:type="spellStart"/>
      <w:r w:rsidRPr="00E06F8B">
        <w:t>Abadi</w:t>
      </w:r>
      <w:proofErr w:type="spellEnd"/>
      <w:r w:rsidR="000E4CF5">
        <w:t xml:space="preserve"> </w:t>
      </w:r>
      <w:r w:rsidRPr="00E06F8B">
        <w:t>(2012).</w:t>
      </w:r>
      <w:proofErr w:type="gramEnd"/>
      <w:r w:rsidR="000E4CF5">
        <w:t xml:space="preserve"> </w:t>
      </w:r>
      <w:r w:rsidRPr="00E06F8B">
        <w:t>Investigating</w:t>
      </w:r>
      <w:r w:rsidR="000E4CF5">
        <w:t xml:space="preserve"> </w:t>
      </w:r>
      <w:r w:rsidRPr="00E06F8B">
        <w:t>teachers’</w:t>
      </w:r>
      <w:r w:rsidR="000E4CF5">
        <w:t xml:space="preserve"> </w:t>
      </w:r>
      <w:r w:rsidRPr="00E06F8B">
        <w:t>pedagogical</w:t>
      </w:r>
      <w:r w:rsidR="000E4CF5">
        <w:t xml:space="preserve"> </w:t>
      </w:r>
      <w:r w:rsidRPr="00E06F8B">
        <w:t>beliefs</w:t>
      </w:r>
      <w:r w:rsidR="000E4CF5">
        <w:t xml:space="preserve"> </w:t>
      </w:r>
      <w:r w:rsidRPr="00E06F8B">
        <w:t>in</w:t>
      </w:r>
      <w:r w:rsidR="000E4CF5">
        <w:t xml:space="preserve"> </w:t>
      </w:r>
      <w:r w:rsidRPr="00E06F8B">
        <w:t>Indonesia</w:t>
      </w:r>
      <w:r w:rsidR="000E4CF5">
        <w:t xml:space="preserve"> </w:t>
      </w:r>
      <w:r w:rsidRPr="00E06F8B">
        <w:t>and</w:t>
      </w:r>
      <w:r w:rsidR="000E4CF5">
        <w:t xml:space="preserve"> </w:t>
      </w:r>
      <w:r w:rsidRPr="00E06F8B">
        <w:t>Australia.</w:t>
      </w:r>
      <w:r w:rsidR="000E4CF5">
        <w:t xml:space="preserve"> </w:t>
      </w:r>
      <w:proofErr w:type="gramStart"/>
      <w:r w:rsidRPr="00E06F8B">
        <w:rPr>
          <w:i/>
        </w:rPr>
        <w:t>The</w:t>
      </w:r>
      <w:r w:rsidR="000E4CF5">
        <w:rPr>
          <w:i/>
        </w:rPr>
        <w:t xml:space="preserve"> </w:t>
      </w:r>
      <w:r w:rsidRPr="00E06F8B">
        <w:rPr>
          <w:i/>
        </w:rPr>
        <w:t>Asia-Pacific</w:t>
      </w:r>
      <w:r w:rsidR="000E4CF5">
        <w:rPr>
          <w:i/>
        </w:rPr>
        <w:t xml:space="preserve"> </w:t>
      </w:r>
      <w:r w:rsidRPr="00E06F8B">
        <w:rPr>
          <w:i/>
        </w:rPr>
        <w:t>Education</w:t>
      </w:r>
      <w:r w:rsidR="000E4CF5">
        <w:rPr>
          <w:i/>
        </w:rPr>
        <w:t xml:space="preserve"> </w:t>
      </w:r>
      <w:r w:rsidRPr="00E06F8B">
        <w:rPr>
          <w:i/>
        </w:rPr>
        <w:t>Researcher,</w:t>
      </w:r>
      <w:r w:rsidR="000E4CF5">
        <w:rPr>
          <w:i/>
        </w:rPr>
        <w:t xml:space="preserve"> </w:t>
      </w:r>
      <w:r w:rsidRPr="00E06F8B">
        <w:rPr>
          <w:i/>
        </w:rPr>
        <w:t>21</w:t>
      </w:r>
      <w:r w:rsidR="002E4E67">
        <w:t>(2)</w:t>
      </w:r>
      <w:r w:rsidRPr="00E06F8B">
        <w:rPr>
          <w:i/>
        </w:rPr>
        <w:t>,</w:t>
      </w:r>
      <w:r w:rsidR="000E4CF5">
        <w:rPr>
          <w:i/>
        </w:rPr>
        <w:t xml:space="preserve"> </w:t>
      </w:r>
      <w:r w:rsidRPr="00E06F8B">
        <w:t>325-335.</w:t>
      </w:r>
      <w:proofErr w:type="gramEnd"/>
      <w:r w:rsidR="000E4CF5">
        <w:t xml:space="preserve"> </w:t>
      </w:r>
    </w:p>
    <w:p w14:paraId="55716C5A" w14:textId="77777777" w:rsidR="007D04A1" w:rsidRPr="00E06F8B" w:rsidRDefault="007D04A1" w:rsidP="00B90BA5">
      <w:pPr>
        <w:pStyle w:val="SEI-ReferenceList"/>
      </w:pPr>
      <w:proofErr w:type="gramStart"/>
      <w:r w:rsidRPr="00E06F8B">
        <w:t>Bhattacharyya,</w:t>
      </w:r>
      <w:r w:rsidR="000E4CF5">
        <w:t xml:space="preserve"> </w:t>
      </w:r>
      <w:r w:rsidRPr="00E06F8B">
        <w:t>S.,</w:t>
      </w:r>
      <w:r w:rsidR="000E4CF5">
        <w:t xml:space="preserve"> </w:t>
      </w:r>
      <w:r w:rsidRPr="00E06F8B">
        <w:t>Volk,</w:t>
      </w:r>
      <w:r w:rsidR="000E4CF5">
        <w:t xml:space="preserve"> </w:t>
      </w:r>
      <w:r w:rsidRPr="00E06F8B">
        <w:t>T.,</w:t>
      </w:r>
      <w:r w:rsidR="000E4CF5">
        <w:t xml:space="preserve"> </w:t>
      </w:r>
      <w:r w:rsidRPr="00E06F8B">
        <w:t>&amp;</w:t>
      </w:r>
      <w:r w:rsidR="000E4CF5">
        <w:t xml:space="preserve"> </w:t>
      </w:r>
      <w:proofErr w:type="spellStart"/>
      <w:r w:rsidRPr="00E06F8B">
        <w:t>Lumpe</w:t>
      </w:r>
      <w:proofErr w:type="spellEnd"/>
      <w:r w:rsidRPr="00E06F8B">
        <w:t>,</w:t>
      </w:r>
      <w:r w:rsidR="000E4CF5">
        <w:t xml:space="preserve"> </w:t>
      </w:r>
      <w:r w:rsidRPr="00E06F8B">
        <w:t>A.</w:t>
      </w:r>
      <w:r w:rsidR="000E4CF5">
        <w:t xml:space="preserve"> </w:t>
      </w:r>
      <w:r w:rsidRPr="00E06F8B">
        <w:t>(2009).</w:t>
      </w:r>
      <w:proofErr w:type="gramEnd"/>
      <w:r w:rsidR="000E4CF5">
        <w:t xml:space="preserve"> </w:t>
      </w:r>
      <w:proofErr w:type="gramStart"/>
      <w:r w:rsidRPr="00E06F8B">
        <w:t>The</w:t>
      </w:r>
      <w:r w:rsidR="000E4CF5">
        <w:t xml:space="preserve"> </w:t>
      </w:r>
      <w:r w:rsidRPr="00E06F8B">
        <w:t>influence</w:t>
      </w:r>
      <w:r w:rsidR="000E4CF5">
        <w:t xml:space="preserve"> </w:t>
      </w:r>
      <w:r w:rsidRPr="00E06F8B">
        <w:t>of</w:t>
      </w:r>
      <w:r w:rsidR="000E4CF5">
        <w:t xml:space="preserve"> </w:t>
      </w:r>
      <w:r w:rsidRPr="00E06F8B">
        <w:t>an</w:t>
      </w:r>
      <w:r w:rsidR="000E4CF5">
        <w:t xml:space="preserve"> </w:t>
      </w:r>
      <w:r w:rsidRPr="00E06F8B">
        <w:t>e</w:t>
      </w:r>
      <w:r w:rsidRPr="00E06F8B">
        <w:t>x</w:t>
      </w:r>
      <w:r w:rsidRPr="00E06F8B">
        <w:t>tensive</w:t>
      </w:r>
      <w:r w:rsidR="000E4CF5">
        <w:t xml:space="preserve"> </w:t>
      </w:r>
      <w:r w:rsidRPr="00E06F8B">
        <w:t>inquiry-based</w:t>
      </w:r>
      <w:r w:rsidR="000E4CF5">
        <w:t xml:space="preserve"> </w:t>
      </w:r>
      <w:r w:rsidRPr="00E06F8B">
        <w:t>field</w:t>
      </w:r>
      <w:r w:rsidR="000E4CF5">
        <w:t xml:space="preserve"> </w:t>
      </w:r>
      <w:r w:rsidRPr="00E06F8B">
        <w:t>experience</w:t>
      </w:r>
      <w:r w:rsidR="000E4CF5">
        <w:t xml:space="preserve"> </w:t>
      </w:r>
      <w:r w:rsidRPr="00E06F8B">
        <w:t>on</w:t>
      </w:r>
      <w:r w:rsidR="000E4CF5">
        <w:t xml:space="preserve"> </w:t>
      </w:r>
      <w:r w:rsidRPr="00E06F8B">
        <w:t>pre-service</w:t>
      </w:r>
      <w:r w:rsidR="000E4CF5">
        <w:t xml:space="preserve"> </w:t>
      </w:r>
      <w:r w:rsidRPr="00E06F8B">
        <w:t>elementary</w:t>
      </w:r>
      <w:r w:rsidR="000E4CF5">
        <w:t xml:space="preserve"> </w:t>
      </w:r>
      <w:r w:rsidRPr="00E06F8B">
        <w:t>st</w:t>
      </w:r>
      <w:r w:rsidRPr="00E06F8B">
        <w:t>u</w:t>
      </w:r>
      <w:r w:rsidRPr="00E06F8B">
        <w:t>dent</w:t>
      </w:r>
      <w:r w:rsidR="000E4CF5">
        <w:t xml:space="preserve"> </w:t>
      </w:r>
      <w:r w:rsidRPr="00E06F8B">
        <w:t>teachers’</w:t>
      </w:r>
      <w:r w:rsidR="000E4CF5">
        <w:t xml:space="preserve"> </w:t>
      </w:r>
      <w:r w:rsidRPr="00E06F8B">
        <w:t>science</w:t>
      </w:r>
      <w:r w:rsidR="000E4CF5">
        <w:t xml:space="preserve"> </w:t>
      </w:r>
      <w:r w:rsidRPr="00E06F8B">
        <w:t>teaching</w:t>
      </w:r>
      <w:r w:rsidR="000E4CF5">
        <w:t xml:space="preserve"> </w:t>
      </w:r>
      <w:r w:rsidRPr="00E06F8B">
        <w:t>beliefs.</w:t>
      </w:r>
      <w:proofErr w:type="gramEnd"/>
      <w:r w:rsidR="000E4CF5">
        <w:t xml:space="preserve"> </w:t>
      </w:r>
      <w:proofErr w:type="gramStart"/>
      <w:r w:rsidRPr="00E06F8B">
        <w:rPr>
          <w:i/>
        </w:rPr>
        <w:t>Journal</w:t>
      </w:r>
      <w:r w:rsidR="000E4CF5">
        <w:rPr>
          <w:i/>
        </w:rPr>
        <w:t xml:space="preserve"> </w:t>
      </w:r>
      <w:r w:rsidRPr="00E06F8B">
        <w:rPr>
          <w:i/>
        </w:rPr>
        <w:t>of</w:t>
      </w:r>
      <w:r w:rsidR="000E4CF5">
        <w:rPr>
          <w:i/>
        </w:rPr>
        <w:t xml:space="preserve"> </w:t>
      </w:r>
      <w:r w:rsidRPr="00E06F8B">
        <w:rPr>
          <w:i/>
        </w:rPr>
        <w:t>Science</w:t>
      </w:r>
      <w:r w:rsidR="000E4CF5">
        <w:rPr>
          <w:i/>
        </w:rPr>
        <w:t xml:space="preserve"> </w:t>
      </w:r>
      <w:r w:rsidRPr="00E06F8B">
        <w:rPr>
          <w:i/>
        </w:rPr>
        <w:t>Teacher</w:t>
      </w:r>
      <w:r w:rsidR="000E4CF5">
        <w:rPr>
          <w:i/>
        </w:rPr>
        <w:t xml:space="preserve"> </w:t>
      </w:r>
      <w:r w:rsidRPr="00E06F8B">
        <w:rPr>
          <w:i/>
        </w:rPr>
        <w:t>Education,</w:t>
      </w:r>
      <w:r w:rsidR="000E4CF5">
        <w:rPr>
          <w:i/>
        </w:rPr>
        <w:t xml:space="preserve"> </w:t>
      </w:r>
      <w:r w:rsidRPr="00E06F8B">
        <w:rPr>
          <w:i/>
        </w:rPr>
        <w:t>20</w:t>
      </w:r>
      <w:r w:rsidR="002E4E67">
        <w:t>(3)</w:t>
      </w:r>
      <w:r w:rsidRPr="00E06F8B">
        <w:t>,</w:t>
      </w:r>
      <w:r w:rsidR="000E4CF5">
        <w:t xml:space="preserve"> </w:t>
      </w:r>
      <w:r w:rsidRPr="00E06F8B">
        <w:t>199-218.</w:t>
      </w:r>
      <w:proofErr w:type="gramEnd"/>
    </w:p>
    <w:p w14:paraId="7B568A70" w14:textId="77777777" w:rsidR="007D04A1" w:rsidRPr="00E06F8B" w:rsidRDefault="007D04A1" w:rsidP="00B90BA5">
      <w:pPr>
        <w:pStyle w:val="SEI-ReferenceList"/>
      </w:pPr>
      <w:r w:rsidRPr="00E06F8B">
        <w:t>Bernardo,</w:t>
      </w:r>
      <w:r w:rsidR="000E4CF5">
        <w:t xml:space="preserve"> </w:t>
      </w:r>
      <w:r w:rsidRPr="00E06F8B">
        <w:t>A.</w:t>
      </w:r>
      <w:r w:rsidR="000E4CF5">
        <w:t xml:space="preserve"> </w:t>
      </w:r>
      <w:r w:rsidRPr="00E06F8B">
        <w:t>B.</w:t>
      </w:r>
      <w:r w:rsidR="000E4CF5">
        <w:t xml:space="preserve"> </w:t>
      </w:r>
      <w:r w:rsidRPr="00E06F8B">
        <w:t>I.</w:t>
      </w:r>
      <w:r w:rsidR="000E4CF5">
        <w:t xml:space="preserve"> </w:t>
      </w:r>
      <w:r w:rsidRPr="00E06F8B">
        <w:t>(1999).</w:t>
      </w:r>
      <w:r w:rsidR="000E4CF5">
        <w:t xml:space="preserve"> </w:t>
      </w:r>
      <w:r w:rsidRPr="00E06F8B">
        <w:t>The</w:t>
      </w:r>
      <w:r w:rsidR="000E4CF5">
        <w:t xml:space="preserve"> </w:t>
      </w:r>
      <w:r w:rsidRPr="00E06F8B">
        <w:t>striving</w:t>
      </w:r>
      <w:r w:rsidR="000E4CF5">
        <w:t xml:space="preserve"> </w:t>
      </w:r>
      <w:r w:rsidRPr="00E06F8B">
        <w:t>and</w:t>
      </w:r>
      <w:r w:rsidR="000E4CF5">
        <w:t xml:space="preserve"> </w:t>
      </w:r>
      <w:r w:rsidRPr="00E06F8B">
        <w:t>the</w:t>
      </w:r>
      <w:r w:rsidR="000E4CF5">
        <w:t xml:space="preserve"> </w:t>
      </w:r>
      <w:r w:rsidRPr="00E06F8B">
        <w:t>struggle</w:t>
      </w:r>
      <w:r w:rsidR="000E4CF5">
        <w:t xml:space="preserve"> </w:t>
      </w:r>
      <w:r w:rsidRPr="00E06F8B">
        <w:t>for</w:t>
      </w:r>
      <w:r w:rsidR="000E4CF5">
        <w:t xml:space="preserve"> </w:t>
      </w:r>
      <w:r w:rsidRPr="00E06F8B">
        <w:t>teacher</w:t>
      </w:r>
      <w:r w:rsidR="000E4CF5">
        <w:t xml:space="preserve"> </w:t>
      </w:r>
      <w:r w:rsidRPr="00E06F8B">
        <w:t>deve</w:t>
      </w:r>
      <w:r w:rsidRPr="00E06F8B">
        <w:t>l</w:t>
      </w:r>
      <w:r w:rsidRPr="00E06F8B">
        <w:t>opment:</w:t>
      </w:r>
      <w:r w:rsidR="000E4CF5">
        <w:t xml:space="preserve"> </w:t>
      </w:r>
      <w:r w:rsidRPr="00E06F8B">
        <w:t>The</w:t>
      </w:r>
      <w:r w:rsidR="000E4CF5">
        <w:t xml:space="preserve"> </w:t>
      </w:r>
      <w:r w:rsidRPr="00E06F8B">
        <w:t>contexts,</w:t>
      </w:r>
      <w:r w:rsidR="000E4CF5">
        <w:t xml:space="preserve"> </w:t>
      </w:r>
      <w:r w:rsidRPr="00E06F8B">
        <w:t>issues,</w:t>
      </w:r>
      <w:r w:rsidR="000E4CF5">
        <w:t xml:space="preserve"> </w:t>
      </w:r>
      <w:r w:rsidRPr="00E06F8B">
        <w:t>trends,</w:t>
      </w:r>
      <w:r w:rsidR="000E4CF5">
        <w:t xml:space="preserve"> </w:t>
      </w:r>
      <w:r w:rsidRPr="00E06F8B">
        <w:t>and</w:t>
      </w:r>
      <w:r w:rsidR="000E4CF5">
        <w:t xml:space="preserve"> </w:t>
      </w:r>
      <w:r w:rsidRPr="00E06F8B">
        <w:t>opportunities</w:t>
      </w:r>
      <w:r w:rsidR="000E4CF5">
        <w:t xml:space="preserve"> </w:t>
      </w:r>
      <w:r w:rsidRPr="00E06F8B">
        <w:t>in</w:t>
      </w:r>
      <w:r w:rsidR="000E4CF5">
        <w:t xml:space="preserve"> </w:t>
      </w:r>
      <w:r w:rsidRPr="00E06F8B">
        <w:t>in-service</w:t>
      </w:r>
      <w:r w:rsidR="000E4CF5">
        <w:t xml:space="preserve"> </w:t>
      </w:r>
      <w:r w:rsidRPr="00E06F8B">
        <w:t>teacher</w:t>
      </w:r>
      <w:r w:rsidR="000E4CF5">
        <w:t xml:space="preserve"> </w:t>
      </w:r>
      <w:r w:rsidRPr="00E06F8B">
        <w:t>training</w:t>
      </w:r>
      <w:r w:rsidR="000E4CF5">
        <w:t xml:space="preserve"> </w:t>
      </w:r>
      <w:r w:rsidRPr="00E06F8B">
        <w:t>in</w:t>
      </w:r>
      <w:r w:rsidR="000E4CF5">
        <w:t xml:space="preserve"> </w:t>
      </w:r>
      <w:r w:rsidRPr="00E06F8B">
        <w:t>the</w:t>
      </w:r>
      <w:r w:rsidR="000E4CF5">
        <w:t xml:space="preserve"> </w:t>
      </w:r>
      <w:r w:rsidRPr="00E06F8B">
        <w:t>Philippines.</w:t>
      </w:r>
      <w:r w:rsidR="000E4CF5">
        <w:t xml:space="preserve"> </w:t>
      </w:r>
      <w:r w:rsidRPr="00E06F8B">
        <w:t>In</w:t>
      </w:r>
      <w:r w:rsidR="000E4CF5">
        <w:t xml:space="preserve"> </w:t>
      </w:r>
      <w:r w:rsidRPr="00E06F8B">
        <w:t>Y.</w:t>
      </w:r>
      <w:r w:rsidR="000E4CF5">
        <w:t xml:space="preserve"> </w:t>
      </w:r>
      <w:proofErr w:type="spellStart"/>
      <w:r w:rsidRPr="00E06F8B">
        <w:t>Tabata</w:t>
      </w:r>
      <w:proofErr w:type="spellEnd"/>
      <w:r w:rsidR="000E4CF5">
        <w:t xml:space="preserve"> </w:t>
      </w:r>
      <w:r w:rsidRPr="00E06F8B">
        <w:t>&amp;</w:t>
      </w:r>
      <w:r w:rsidR="000E4CF5">
        <w:t xml:space="preserve"> </w:t>
      </w:r>
      <w:r w:rsidRPr="00E06F8B">
        <w:t>L.</w:t>
      </w:r>
      <w:r w:rsidR="000E4CF5">
        <w:t xml:space="preserve"> </w:t>
      </w:r>
      <w:proofErr w:type="spellStart"/>
      <w:r w:rsidRPr="00E06F8B">
        <w:t>Griek</w:t>
      </w:r>
      <w:proofErr w:type="spellEnd"/>
      <w:r w:rsidR="000E4CF5">
        <w:t xml:space="preserve"> </w:t>
      </w:r>
      <w:r w:rsidRPr="00E06F8B">
        <w:t>(Eds.),</w:t>
      </w:r>
      <w:r w:rsidR="000E4CF5">
        <w:t xml:space="preserve"> </w:t>
      </w:r>
      <w:r w:rsidRPr="00E06F8B">
        <w:rPr>
          <w:i/>
        </w:rPr>
        <w:t>Ensuring</w:t>
      </w:r>
      <w:r w:rsidR="000E4CF5">
        <w:rPr>
          <w:i/>
        </w:rPr>
        <w:t xml:space="preserve"> </w:t>
      </w:r>
      <w:r w:rsidRPr="00E06F8B">
        <w:rPr>
          <w:i/>
        </w:rPr>
        <w:t>opportunities</w:t>
      </w:r>
      <w:r w:rsidR="000E4CF5">
        <w:rPr>
          <w:i/>
        </w:rPr>
        <w:t xml:space="preserve"> </w:t>
      </w:r>
      <w:r w:rsidRPr="00E06F8B">
        <w:rPr>
          <w:i/>
        </w:rPr>
        <w:t>for</w:t>
      </w:r>
      <w:r w:rsidR="000E4CF5">
        <w:rPr>
          <w:i/>
        </w:rPr>
        <w:t xml:space="preserve"> </w:t>
      </w:r>
      <w:r w:rsidRPr="00E06F8B">
        <w:rPr>
          <w:i/>
        </w:rPr>
        <w:t>the</w:t>
      </w:r>
      <w:r w:rsidR="000E4CF5">
        <w:rPr>
          <w:i/>
        </w:rPr>
        <w:t xml:space="preserve"> </w:t>
      </w:r>
      <w:r w:rsidRPr="00E06F8B">
        <w:rPr>
          <w:i/>
        </w:rPr>
        <w:t>professional</w:t>
      </w:r>
      <w:r w:rsidR="000E4CF5">
        <w:rPr>
          <w:i/>
        </w:rPr>
        <w:t xml:space="preserve"> </w:t>
      </w:r>
      <w:r w:rsidRPr="00E06F8B">
        <w:rPr>
          <w:i/>
        </w:rPr>
        <w:t>development</w:t>
      </w:r>
      <w:r w:rsidR="000E4CF5">
        <w:rPr>
          <w:i/>
        </w:rPr>
        <w:t xml:space="preserve"> </w:t>
      </w:r>
      <w:r w:rsidRPr="00E06F8B">
        <w:rPr>
          <w:i/>
        </w:rPr>
        <w:t>of</w:t>
      </w:r>
      <w:r w:rsidR="000E4CF5">
        <w:rPr>
          <w:i/>
        </w:rPr>
        <w:t xml:space="preserve"> </w:t>
      </w:r>
      <w:r w:rsidRPr="00E06F8B">
        <w:rPr>
          <w:i/>
        </w:rPr>
        <w:t>teachers</w:t>
      </w:r>
      <w:r w:rsidR="000E4CF5">
        <w:t xml:space="preserve"> </w:t>
      </w:r>
      <w:r w:rsidRPr="00E06F8B">
        <w:t>(pp.</w:t>
      </w:r>
      <w:r w:rsidR="000E4CF5">
        <w:t xml:space="preserve"> </w:t>
      </w:r>
      <w:r w:rsidRPr="00E06F8B">
        <w:t>141-158).</w:t>
      </w:r>
      <w:r w:rsidR="000E4CF5">
        <w:t xml:space="preserve"> </w:t>
      </w:r>
      <w:r w:rsidRPr="00E06F8B">
        <w:t>Higashi-Hiroshima</w:t>
      </w:r>
      <w:r w:rsidR="000E4CF5">
        <w:t xml:space="preserve"> </w:t>
      </w:r>
      <w:r w:rsidRPr="00E06F8B">
        <w:t>City,</w:t>
      </w:r>
      <w:r w:rsidR="000E4CF5">
        <w:t xml:space="preserve"> </w:t>
      </w:r>
      <w:r w:rsidRPr="00E06F8B">
        <w:t>Japan:</w:t>
      </w:r>
      <w:r w:rsidR="000E4CF5">
        <w:t xml:space="preserve"> </w:t>
      </w:r>
      <w:r w:rsidRPr="00E06F8B">
        <w:t>Hiroshima</w:t>
      </w:r>
      <w:r w:rsidR="000E4CF5">
        <w:t xml:space="preserve"> </w:t>
      </w:r>
      <w:r w:rsidRPr="00E06F8B">
        <w:t>University</w:t>
      </w:r>
      <w:r w:rsidR="000E4CF5">
        <w:t xml:space="preserve"> </w:t>
      </w:r>
      <w:r w:rsidRPr="00E06F8B">
        <w:t>UNESCO-APEID</w:t>
      </w:r>
      <w:r w:rsidR="000E4CF5">
        <w:t xml:space="preserve"> </w:t>
      </w:r>
      <w:r w:rsidRPr="00E06F8B">
        <w:t>Associated</w:t>
      </w:r>
      <w:r w:rsidR="000E4CF5">
        <w:t xml:space="preserve"> </w:t>
      </w:r>
      <w:r w:rsidRPr="00E06F8B">
        <w:t>Centre.</w:t>
      </w:r>
      <w:r w:rsidR="000E4CF5">
        <w:t xml:space="preserve"> </w:t>
      </w:r>
    </w:p>
    <w:p w14:paraId="4209F169" w14:textId="77777777" w:rsidR="007D04A1" w:rsidRPr="00E06F8B" w:rsidRDefault="007D04A1" w:rsidP="00B90BA5">
      <w:pPr>
        <w:pStyle w:val="SEI-ReferenceList"/>
      </w:pPr>
      <w:r w:rsidRPr="00E06F8B">
        <w:t>Bernardo,</w:t>
      </w:r>
      <w:r w:rsidR="000E4CF5">
        <w:t xml:space="preserve"> </w:t>
      </w:r>
      <w:r w:rsidRPr="00E06F8B">
        <w:t>A.</w:t>
      </w:r>
      <w:r w:rsidR="000E4CF5">
        <w:t xml:space="preserve"> </w:t>
      </w:r>
      <w:r w:rsidRPr="00E06F8B">
        <w:t>B.</w:t>
      </w:r>
      <w:r w:rsidR="000E4CF5">
        <w:t xml:space="preserve"> </w:t>
      </w:r>
      <w:r w:rsidRPr="00E06F8B">
        <w:t>I.</w:t>
      </w:r>
      <w:r w:rsidR="000E4CF5">
        <w:t xml:space="preserve"> </w:t>
      </w:r>
      <w:r w:rsidRPr="00E06F8B">
        <w:t>(2007).</w:t>
      </w:r>
      <w:r w:rsidR="000E4CF5">
        <w:t xml:space="preserve"> </w:t>
      </w:r>
      <w:r w:rsidRPr="00E06F8B">
        <w:t>Contrasting</w:t>
      </w:r>
      <w:r w:rsidR="000E4CF5">
        <w:t xml:space="preserve"> </w:t>
      </w:r>
      <w:r w:rsidRPr="00E06F8B">
        <w:t>the</w:t>
      </w:r>
      <w:r w:rsidR="000E4CF5">
        <w:t xml:space="preserve"> </w:t>
      </w:r>
      <w:r w:rsidRPr="00E06F8B">
        <w:t>old</w:t>
      </w:r>
      <w:r w:rsidR="000E4CF5">
        <w:t xml:space="preserve"> </w:t>
      </w:r>
      <w:r w:rsidRPr="00E06F8B">
        <w:t>and</w:t>
      </w:r>
      <w:r w:rsidR="000E4CF5">
        <w:t xml:space="preserve"> </w:t>
      </w:r>
      <w:r w:rsidRPr="00E06F8B">
        <w:t>the</w:t>
      </w:r>
      <w:r w:rsidR="000E4CF5">
        <w:t xml:space="preserve"> </w:t>
      </w:r>
      <w:r w:rsidRPr="00E06F8B">
        <w:t>new</w:t>
      </w:r>
      <w:r w:rsidR="000E4CF5">
        <w:t xml:space="preserve"> </w:t>
      </w:r>
      <w:r w:rsidRPr="00E06F8B">
        <w:t>Philippine</w:t>
      </w:r>
      <w:r w:rsidR="000E4CF5">
        <w:t xml:space="preserve"> </w:t>
      </w:r>
      <w:r w:rsidRPr="00E06F8B">
        <w:t>pre-service</w:t>
      </w:r>
      <w:r w:rsidR="000E4CF5">
        <w:t xml:space="preserve"> </w:t>
      </w:r>
      <w:r w:rsidRPr="00E06F8B">
        <w:t>teacher</w:t>
      </w:r>
      <w:r w:rsidR="000E4CF5">
        <w:t xml:space="preserve"> </w:t>
      </w:r>
      <w:r w:rsidRPr="00E06F8B">
        <w:t>education</w:t>
      </w:r>
      <w:r w:rsidR="000E4CF5">
        <w:t xml:space="preserve"> </w:t>
      </w:r>
      <w:r w:rsidRPr="00E06F8B">
        <w:t>curriculum.</w:t>
      </w:r>
      <w:r w:rsidR="000E4CF5">
        <w:t xml:space="preserve"> </w:t>
      </w:r>
      <w:r w:rsidRPr="00E06F8B">
        <w:t>In</w:t>
      </w:r>
      <w:r w:rsidR="000E4CF5">
        <w:t xml:space="preserve"> </w:t>
      </w:r>
      <w:r w:rsidRPr="00E06F8B">
        <w:t>B.</w:t>
      </w:r>
      <w:r w:rsidR="000E4CF5">
        <w:t xml:space="preserve"> </w:t>
      </w:r>
      <w:proofErr w:type="spellStart"/>
      <w:r w:rsidRPr="00E06F8B">
        <w:t>Atweh</w:t>
      </w:r>
      <w:proofErr w:type="spellEnd"/>
      <w:r w:rsidRPr="00E06F8B">
        <w:t>,</w:t>
      </w:r>
      <w:r w:rsidR="000E4CF5">
        <w:t xml:space="preserve"> </w:t>
      </w:r>
      <w:r w:rsidRPr="00E06F8B">
        <w:t>M.</w:t>
      </w:r>
      <w:r w:rsidR="000E4CF5">
        <w:t xml:space="preserve"> </w:t>
      </w:r>
      <w:r w:rsidRPr="00E06F8B">
        <w:t>U.</w:t>
      </w:r>
      <w:r w:rsidR="000E4CF5">
        <w:t xml:space="preserve"> </w:t>
      </w:r>
      <w:proofErr w:type="spellStart"/>
      <w:r w:rsidRPr="00E06F8B">
        <w:t>Balagtas</w:t>
      </w:r>
      <w:proofErr w:type="spellEnd"/>
      <w:r w:rsidRPr="00E06F8B">
        <w:t>,</w:t>
      </w:r>
      <w:r w:rsidR="000E4CF5">
        <w:t xml:space="preserve"> </w:t>
      </w:r>
      <w:r w:rsidRPr="00E06F8B">
        <w:t>A.</w:t>
      </w:r>
      <w:r w:rsidR="000E4CF5">
        <w:t xml:space="preserve"> </w:t>
      </w:r>
      <w:r w:rsidRPr="00E06F8B">
        <w:t>B.</w:t>
      </w:r>
      <w:r w:rsidR="000E4CF5">
        <w:t xml:space="preserve"> </w:t>
      </w:r>
      <w:r w:rsidRPr="00E06F8B">
        <w:t>I.</w:t>
      </w:r>
      <w:r w:rsidR="000E4CF5">
        <w:t xml:space="preserve"> </w:t>
      </w:r>
      <w:r w:rsidRPr="00E06F8B">
        <w:t>Bernardo,</w:t>
      </w:r>
      <w:r w:rsidR="000E4CF5">
        <w:t xml:space="preserve"> </w:t>
      </w:r>
      <w:r w:rsidRPr="00E06F8B">
        <w:t>M.</w:t>
      </w:r>
      <w:r w:rsidR="000E4CF5">
        <w:t xml:space="preserve"> </w:t>
      </w:r>
      <w:r w:rsidRPr="00E06F8B">
        <w:t>B.</w:t>
      </w:r>
      <w:r w:rsidR="000E4CF5">
        <w:t xml:space="preserve"> </w:t>
      </w:r>
      <w:proofErr w:type="spellStart"/>
      <w:r w:rsidRPr="00E06F8B">
        <w:t>Ferido</w:t>
      </w:r>
      <w:proofErr w:type="spellEnd"/>
      <w:r w:rsidRPr="00E06F8B">
        <w:t>,</w:t>
      </w:r>
      <w:r w:rsidR="000E4CF5">
        <w:t xml:space="preserve"> </w:t>
      </w:r>
      <w:r w:rsidRPr="00E06F8B">
        <w:t>&amp;</w:t>
      </w:r>
      <w:r w:rsidR="000E4CF5">
        <w:t xml:space="preserve"> </w:t>
      </w:r>
      <w:r w:rsidRPr="00E06F8B">
        <w:t>I.</w:t>
      </w:r>
      <w:r w:rsidR="000E4CF5">
        <w:t xml:space="preserve"> </w:t>
      </w:r>
      <w:r w:rsidRPr="00E06F8B">
        <w:t>Macpherson</w:t>
      </w:r>
      <w:r w:rsidR="000E4CF5">
        <w:t xml:space="preserve"> </w:t>
      </w:r>
      <w:r w:rsidRPr="00E06F8B">
        <w:t>(Eds.)</w:t>
      </w:r>
      <w:r w:rsidR="000E4CF5">
        <w:t xml:space="preserve"> </w:t>
      </w:r>
      <w:r w:rsidRPr="00E06F8B">
        <w:rPr>
          <w:i/>
        </w:rPr>
        <w:t>Ripples</w:t>
      </w:r>
      <w:r w:rsidR="000E4CF5">
        <w:rPr>
          <w:i/>
        </w:rPr>
        <w:t xml:space="preserve"> </w:t>
      </w:r>
      <w:r w:rsidRPr="00E06F8B">
        <w:rPr>
          <w:i/>
        </w:rPr>
        <w:t>of</w:t>
      </w:r>
      <w:r w:rsidR="000E4CF5">
        <w:rPr>
          <w:i/>
        </w:rPr>
        <w:t xml:space="preserve"> </w:t>
      </w:r>
      <w:r w:rsidRPr="00E06F8B">
        <w:rPr>
          <w:i/>
        </w:rPr>
        <w:t>change:</w:t>
      </w:r>
      <w:r w:rsidR="000E4CF5">
        <w:rPr>
          <w:i/>
        </w:rPr>
        <w:t xml:space="preserve"> </w:t>
      </w:r>
      <w:r w:rsidRPr="00E06F8B">
        <w:rPr>
          <w:i/>
        </w:rPr>
        <w:t>A</w:t>
      </w:r>
      <w:r w:rsidR="000E4CF5">
        <w:rPr>
          <w:i/>
        </w:rPr>
        <w:t xml:space="preserve"> </w:t>
      </w:r>
      <w:r w:rsidRPr="00E06F8B">
        <w:rPr>
          <w:i/>
        </w:rPr>
        <w:t>journey</w:t>
      </w:r>
      <w:r w:rsidR="000E4CF5">
        <w:rPr>
          <w:i/>
        </w:rPr>
        <w:t xml:space="preserve"> </w:t>
      </w:r>
      <w:r w:rsidRPr="00E06F8B">
        <w:rPr>
          <w:i/>
        </w:rPr>
        <w:t>of</w:t>
      </w:r>
      <w:r w:rsidR="000E4CF5">
        <w:rPr>
          <w:i/>
        </w:rPr>
        <w:t xml:space="preserve"> </w:t>
      </w:r>
      <w:r w:rsidRPr="00E06F8B">
        <w:rPr>
          <w:i/>
        </w:rPr>
        <w:t>teacher</w:t>
      </w:r>
      <w:r w:rsidR="000E4CF5">
        <w:rPr>
          <w:i/>
        </w:rPr>
        <w:t xml:space="preserve"> </w:t>
      </w:r>
      <w:r w:rsidRPr="00E06F8B">
        <w:rPr>
          <w:i/>
        </w:rPr>
        <w:t>education</w:t>
      </w:r>
      <w:r w:rsidR="000E4CF5">
        <w:rPr>
          <w:i/>
        </w:rPr>
        <w:t xml:space="preserve"> </w:t>
      </w:r>
      <w:r w:rsidRPr="00E06F8B">
        <w:rPr>
          <w:i/>
        </w:rPr>
        <w:t>reform</w:t>
      </w:r>
      <w:r w:rsidR="000E4CF5">
        <w:rPr>
          <w:i/>
        </w:rPr>
        <w:t xml:space="preserve"> </w:t>
      </w:r>
      <w:r w:rsidRPr="00E06F8B">
        <w:rPr>
          <w:i/>
        </w:rPr>
        <w:t>in</w:t>
      </w:r>
      <w:r w:rsidR="000E4CF5">
        <w:rPr>
          <w:i/>
        </w:rPr>
        <w:t xml:space="preserve"> </w:t>
      </w:r>
      <w:r w:rsidRPr="00E06F8B">
        <w:rPr>
          <w:i/>
        </w:rPr>
        <w:t>the</w:t>
      </w:r>
      <w:r w:rsidR="000E4CF5">
        <w:rPr>
          <w:i/>
        </w:rPr>
        <w:t xml:space="preserve"> </w:t>
      </w:r>
      <w:r w:rsidRPr="00E06F8B">
        <w:rPr>
          <w:i/>
        </w:rPr>
        <w:t>Philippines</w:t>
      </w:r>
      <w:r w:rsidR="000E4CF5">
        <w:t xml:space="preserve"> </w:t>
      </w:r>
      <w:r w:rsidRPr="00E06F8B">
        <w:t>(pp.</w:t>
      </w:r>
      <w:r w:rsidR="000E4CF5">
        <w:t xml:space="preserve"> </w:t>
      </w:r>
      <w:r w:rsidRPr="00E06F8B">
        <w:t>24-35).</w:t>
      </w:r>
      <w:r w:rsidR="000E4CF5">
        <w:t xml:space="preserve"> </w:t>
      </w:r>
      <w:r w:rsidRPr="00E06F8B">
        <w:t>Pasig</w:t>
      </w:r>
      <w:r w:rsidR="000E4CF5">
        <w:t xml:space="preserve"> </w:t>
      </w:r>
      <w:r w:rsidRPr="00E06F8B">
        <w:t>City:</w:t>
      </w:r>
      <w:r w:rsidR="000E4CF5">
        <w:t xml:space="preserve"> </w:t>
      </w:r>
      <w:r w:rsidRPr="00E06F8B">
        <w:t>CHED.</w:t>
      </w:r>
    </w:p>
    <w:p w14:paraId="127F1367" w14:textId="77777777" w:rsidR="007D04A1" w:rsidRPr="00E06F8B" w:rsidRDefault="007D04A1" w:rsidP="00B90BA5">
      <w:pPr>
        <w:pStyle w:val="SEI-ReferenceList"/>
      </w:pPr>
      <w:r w:rsidRPr="00E06F8B">
        <w:t>Bernardo,</w:t>
      </w:r>
      <w:r w:rsidR="000E4CF5">
        <w:t xml:space="preserve"> </w:t>
      </w:r>
      <w:r w:rsidRPr="00E06F8B">
        <w:t>A.</w:t>
      </w:r>
      <w:r w:rsidR="000E4CF5">
        <w:t xml:space="preserve"> </w:t>
      </w:r>
      <w:r w:rsidRPr="00E06F8B">
        <w:t>B.</w:t>
      </w:r>
      <w:r w:rsidR="000E4CF5">
        <w:t xml:space="preserve"> </w:t>
      </w:r>
      <w:r w:rsidRPr="00E06F8B">
        <w:t>I.</w:t>
      </w:r>
      <w:r w:rsidR="000E4CF5">
        <w:t xml:space="preserve"> </w:t>
      </w:r>
      <w:r w:rsidRPr="00E06F8B">
        <w:t>(2008).</w:t>
      </w:r>
      <w:r w:rsidR="000E4CF5">
        <w:t xml:space="preserve"> </w:t>
      </w:r>
      <w:r w:rsidRPr="00E06F8B">
        <w:t>Exploring</w:t>
      </w:r>
      <w:r w:rsidR="000E4CF5">
        <w:t xml:space="preserve"> </w:t>
      </w:r>
      <w:r w:rsidRPr="00E06F8B">
        <w:t>epistemological</w:t>
      </w:r>
      <w:r w:rsidR="000E4CF5">
        <w:t xml:space="preserve"> </w:t>
      </w:r>
      <w:r w:rsidRPr="00E06F8B">
        <w:t>beliefs</w:t>
      </w:r>
      <w:r w:rsidR="000E4CF5">
        <w:t xml:space="preserve"> </w:t>
      </w:r>
      <w:r w:rsidRPr="00E06F8B">
        <w:t>of</w:t>
      </w:r>
      <w:r w:rsidR="000E4CF5">
        <w:t xml:space="preserve"> </w:t>
      </w:r>
      <w:r w:rsidRPr="00E06F8B">
        <w:t>bilingual</w:t>
      </w:r>
      <w:r w:rsidR="000E4CF5">
        <w:t xml:space="preserve"> </w:t>
      </w:r>
      <w:r w:rsidRPr="00E06F8B">
        <w:t>Filipino</w:t>
      </w:r>
      <w:r w:rsidR="000E4CF5">
        <w:t xml:space="preserve"> </w:t>
      </w:r>
      <w:r w:rsidRPr="00E06F8B">
        <w:t>preservice</w:t>
      </w:r>
      <w:r w:rsidR="000E4CF5">
        <w:t xml:space="preserve"> </w:t>
      </w:r>
      <w:r w:rsidRPr="00E06F8B">
        <w:t>teachers</w:t>
      </w:r>
      <w:r w:rsidR="000E4CF5">
        <w:t xml:space="preserve"> </w:t>
      </w:r>
      <w:r w:rsidRPr="00E06F8B">
        <w:t>in</w:t>
      </w:r>
      <w:r w:rsidR="000E4CF5">
        <w:t xml:space="preserve"> </w:t>
      </w:r>
      <w:r w:rsidRPr="00E06F8B">
        <w:t>the</w:t>
      </w:r>
      <w:r w:rsidR="000E4CF5">
        <w:t xml:space="preserve"> </w:t>
      </w:r>
      <w:r w:rsidRPr="00E06F8B">
        <w:t>Filipino</w:t>
      </w:r>
      <w:r w:rsidR="000E4CF5">
        <w:t xml:space="preserve"> </w:t>
      </w:r>
      <w:r w:rsidRPr="00E06F8B">
        <w:t>and</w:t>
      </w:r>
      <w:r w:rsidR="000E4CF5">
        <w:t xml:space="preserve"> </w:t>
      </w:r>
      <w:r w:rsidRPr="00E06F8B">
        <w:t>English</w:t>
      </w:r>
      <w:r w:rsidR="000E4CF5">
        <w:t xml:space="preserve"> </w:t>
      </w:r>
      <w:r w:rsidRPr="00E06F8B">
        <w:t>languages.</w:t>
      </w:r>
      <w:r w:rsidR="000E4CF5">
        <w:t xml:space="preserve"> </w:t>
      </w:r>
      <w:proofErr w:type="gramStart"/>
      <w:r w:rsidRPr="00E06F8B">
        <w:rPr>
          <w:i/>
          <w:iCs/>
        </w:rPr>
        <w:t>The</w:t>
      </w:r>
      <w:r w:rsidR="000E4CF5">
        <w:rPr>
          <w:i/>
          <w:iCs/>
        </w:rPr>
        <w:t xml:space="preserve"> </w:t>
      </w:r>
      <w:r w:rsidRPr="00E06F8B">
        <w:rPr>
          <w:i/>
          <w:iCs/>
        </w:rPr>
        <w:t>Journal</w:t>
      </w:r>
      <w:r w:rsidR="000E4CF5">
        <w:rPr>
          <w:i/>
          <w:iCs/>
        </w:rPr>
        <w:t xml:space="preserve"> </w:t>
      </w:r>
      <w:r w:rsidRPr="00E06F8B">
        <w:rPr>
          <w:i/>
          <w:iCs/>
        </w:rPr>
        <w:t>of</w:t>
      </w:r>
      <w:r w:rsidR="000E4CF5">
        <w:rPr>
          <w:i/>
          <w:iCs/>
        </w:rPr>
        <w:t xml:space="preserve"> </w:t>
      </w:r>
      <w:r w:rsidRPr="00E06F8B">
        <w:rPr>
          <w:i/>
          <w:iCs/>
        </w:rPr>
        <w:t>Psychology,</w:t>
      </w:r>
      <w:r w:rsidR="000E4CF5">
        <w:rPr>
          <w:i/>
          <w:iCs/>
        </w:rPr>
        <w:t xml:space="preserve"> </w:t>
      </w:r>
      <w:r w:rsidRPr="00E06F8B">
        <w:rPr>
          <w:i/>
          <w:iCs/>
        </w:rPr>
        <w:t>142</w:t>
      </w:r>
      <w:r w:rsidRPr="00E06F8B">
        <w:t>(2),</w:t>
      </w:r>
      <w:r w:rsidR="000E4CF5">
        <w:t xml:space="preserve"> </w:t>
      </w:r>
      <w:r w:rsidRPr="00E06F8B">
        <w:t>193-208.</w:t>
      </w:r>
      <w:proofErr w:type="gramEnd"/>
    </w:p>
    <w:p w14:paraId="30180A1F" w14:textId="77777777" w:rsidR="007D04A1" w:rsidRPr="00E06F8B" w:rsidRDefault="007D04A1" w:rsidP="00B90BA5">
      <w:pPr>
        <w:pStyle w:val="SEI-ReferenceList"/>
      </w:pPr>
      <w:proofErr w:type="spellStart"/>
      <w:r w:rsidRPr="00E06F8B">
        <w:t>Bolyard</w:t>
      </w:r>
      <w:proofErr w:type="spellEnd"/>
      <w:r w:rsidRPr="00E06F8B">
        <w:t>,</w:t>
      </w:r>
      <w:r w:rsidR="000E4CF5">
        <w:t xml:space="preserve"> </w:t>
      </w:r>
      <w:r w:rsidRPr="00E06F8B">
        <w:t>J.</w:t>
      </w:r>
      <w:r w:rsidR="000E4CF5">
        <w:t xml:space="preserve"> </w:t>
      </w:r>
      <w:r w:rsidRPr="00E06F8B">
        <w:t>J.,</w:t>
      </w:r>
      <w:r w:rsidR="000E4CF5">
        <w:t xml:space="preserve"> </w:t>
      </w:r>
      <w:r w:rsidRPr="00E06F8B">
        <w:t>&amp;</w:t>
      </w:r>
      <w:r w:rsidR="000E4CF5">
        <w:t xml:space="preserve"> </w:t>
      </w:r>
      <w:r w:rsidRPr="00E06F8B">
        <w:t>Moyer-</w:t>
      </w:r>
      <w:proofErr w:type="spellStart"/>
      <w:r w:rsidRPr="00E06F8B">
        <w:t>Packenham</w:t>
      </w:r>
      <w:proofErr w:type="spellEnd"/>
      <w:r w:rsidRPr="00E06F8B">
        <w:t>,</w:t>
      </w:r>
      <w:r w:rsidR="000E4CF5">
        <w:t xml:space="preserve"> </w:t>
      </w:r>
      <w:r w:rsidRPr="00E06F8B">
        <w:t>P.</w:t>
      </w:r>
      <w:r w:rsidR="000E4CF5">
        <w:t xml:space="preserve"> </w:t>
      </w:r>
      <w:r w:rsidRPr="00E06F8B">
        <w:t>S.</w:t>
      </w:r>
      <w:r w:rsidR="000E4CF5">
        <w:t xml:space="preserve"> </w:t>
      </w:r>
      <w:r w:rsidRPr="00E06F8B">
        <w:t>(2008).</w:t>
      </w:r>
      <w:r w:rsidR="000E4CF5">
        <w:t xml:space="preserve"> </w:t>
      </w:r>
      <w:proofErr w:type="gramStart"/>
      <w:r w:rsidRPr="00E06F8B">
        <w:t>A</w:t>
      </w:r>
      <w:r w:rsidR="000E4CF5">
        <w:t xml:space="preserve"> </w:t>
      </w:r>
      <w:r w:rsidRPr="00E06F8B">
        <w:t>review</w:t>
      </w:r>
      <w:r w:rsidR="000E4CF5">
        <w:t xml:space="preserve"> </w:t>
      </w:r>
      <w:r w:rsidRPr="00E06F8B">
        <w:t>of</w:t>
      </w:r>
      <w:r w:rsidR="000E4CF5">
        <w:t xml:space="preserve"> </w:t>
      </w:r>
      <w:r w:rsidRPr="00E06F8B">
        <w:t>the</w:t>
      </w:r>
      <w:r w:rsidR="000E4CF5">
        <w:t xml:space="preserve"> </w:t>
      </w:r>
      <w:r w:rsidRPr="00E06F8B">
        <w:t>liter</w:t>
      </w:r>
      <w:r w:rsidRPr="00E06F8B">
        <w:t>a</w:t>
      </w:r>
      <w:r w:rsidRPr="00E06F8B">
        <w:t>ture</w:t>
      </w:r>
      <w:r w:rsidR="000E4CF5">
        <w:t xml:space="preserve"> </w:t>
      </w:r>
      <w:r w:rsidRPr="00E06F8B">
        <w:t>on</w:t>
      </w:r>
      <w:r w:rsidR="000E4CF5">
        <w:t xml:space="preserve"> </w:t>
      </w:r>
      <w:r w:rsidRPr="00E06F8B">
        <w:t>mathematics</w:t>
      </w:r>
      <w:r w:rsidR="000E4CF5">
        <w:t xml:space="preserve"> </w:t>
      </w:r>
      <w:r w:rsidRPr="00E06F8B">
        <w:t>and</w:t>
      </w:r>
      <w:r w:rsidR="000E4CF5">
        <w:t xml:space="preserve"> </w:t>
      </w:r>
      <w:r w:rsidRPr="00E06F8B">
        <w:t>science</w:t>
      </w:r>
      <w:r w:rsidR="000E4CF5">
        <w:t xml:space="preserve"> </w:t>
      </w:r>
      <w:r w:rsidRPr="00E06F8B">
        <w:t>teacher</w:t>
      </w:r>
      <w:r w:rsidR="000E4CF5">
        <w:t xml:space="preserve"> </w:t>
      </w:r>
      <w:r w:rsidRPr="00E06F8B">
        <w:t>quality.</w:t>
      </w:r>
      <w:proofErr w:type="gramEnd"/>
      <w:r w:rsidR="000E4CF5">
        <w:t xml:space="preserve"> </w:t>
      </w:r>
      <w:proofErr w:type="gramStart"/>
      <w:r w:rsidRPr="00E06F8B">
        <w:rPr>
          <w:i/>
        </w:rPr>
        <w:t>Peabody</w:t>
      </w:r>
      <w:r w:rsidR="000E4CF5">
        <w:rPr>
          <w:i/>
        </w:rPr>
        <w:t xml:space="preserve"> </w:t>
      </w:r>
      <w:r w:rsidRPr="00E06F8B">
        <w:rPr>
          <w:i/>
        </w:rPr>
        <w:t>Journal</w:t>
      </w:r>
      <w:r w:rsidR="000E4CF5">
        <w:rPr>
          <w:i/>
        </w:rPr>
        <w:t xml:space="preserve"> </w:t>
      </w:r>
      <w:r w:rsidRPr="00E06F8B">
        <w:rPr>
          <w:i/>
        </w:rPr>
        <w:t>of</w:t>
      </w:r>
      <w:r w:rsidR="000E4CF5">
        <w:rPr>
          <w:i/>
        </w:rPr>
        <w:t xml:space="preserve"> </w:t>
      </w:r>
      <w:r w:rsidRPr="00E06F8B">
        <w:rPr>
          <w:i/>
        </w:rPr>
        <w:t>Education,</w:t>
      </w:r>
      <w:r w:rsidR="000E4CF5">
        <w:rPr>
          <w:i/>
        </w:rPr>
        <w:t xml:space="preserve"> </w:t>
      </w:r>
      <w:r w:rsidRPr="00E06F8B">
        <w:rPr>
          <w:i/>
        </w:rPr>
        <w:t>83</w:t>
      </w:r>
      <w:r w:rsidR="002E4E67">
        <w:t>(4)</w:t>
      </w:r>
      <w:r w:rsidRPr="00E06F8B">
        <w:t>,</w:t>
      </w:r>
      <w:r w:rsidR="000E4CF5">
        <w:t xml:space="preserve"> </w:t>
      </w:r>
      <w:r w:rsidRPr="00E06F8B">
        <w:t>509-535.</w:t>
      </w:r>
      <w:proofErr w:type="gramEnd"/>
    </w:p>
    <w:p w14:paraId="2549077A" w14:textId="77777777" w:rsidR="007D04A1" w:rsidRPr="00E06F8B" w:rsidRDefault="007D04A1" w:rsidP="00B90BA5">
      <w:pPr>
        <w:pStyle w:val="SEI-ReferenceList"/>
      </w:pPr>
      <w:proofErr w:type="spellStart"/>
      <w:r w:rsidRPr="00E06F8B">
        <w:t>Calderhead</w:t>
      </w:r>
      <w:proofErr w:type="spellEnd"/>
      <w:r w:rsidRPr="00E06F8B">
        <w:t>,</w:t>
      </w:r>
      <w:r w:rsidR="000E4CF5">
        <w:t xml:space="preserve"> </w:t>
      </w:r>
      <w:r w:rsidRPr="00E06F8B">
        <w:t>J.</w:t>
      </w:r>
      <w:r w:rsidR="000E4CF5">
        <w:t xml:space="preserve"> </w:t>
      </w:r>
      <w:r w:rsidRPr="00E06F8B">
        <w:t>(1996).</w:t>
      </w:r>
      <w:r w:rsidR="000E4CF5">
        <w:t xml:space="preserve"> </w:t>
      </w:r>
      <w:r w:rsidRPr="00E06F8B">
        <w:t>Teachers:</w:t>
      </w:r>
      <w:r w:rsidR="000E4CF5">
        <w:t xml:space="preserve"> </w:t>
      </w:r>
      <w:r w:rsidRPr="00E06F8B">
        <w:t>Beliefs</w:t>
      </w:r>
      <w:r w:rsidR="000E4CF5">
        <w:t xml:space="preserve"> </w:t>
      </w:r>
      <w:r w:rsidRPr="00E06F8B">
        <w:t>and</w:t>
      </w:r>
      <w:r w:rsidR="000E4CF5">
        <w:t xml:space="preserve"> </w:t>
      </w:r>
      <w:r w:rsidRPr="00E06F8B">
        <w:t>knowledge.</w:t>
      </w:r>
      <w:r w:rsidR="000E4CF5">
        <w:t xml:space="preserve"> </w:t>
      </w:r>
      <w:r w:rsidRPr="00E06F8B">
        <w:t>In</w:t>
      </w:r>
      <w:r w:rsidR="000E4CF5">
        <w:t xml:space="preserve"> </w:t>
      </w:r>
      <w:r w:rsidRPr="00E06F8B">
        <w:t>D.</w:t>
      </w:r>
      <w:r w:rsidR="000E4CF5">
        <w:t xml:space="preserve"> </w:t>
      </w:r>
      <w:r w:rsidRPr="00E06F8B">
        <w:t>C.</w:t>
      </w:r>
      <w:r w:rsidR="000E4CF5">
        <w:t xml:space="preserve"> </w:t>
      </w:r>
      <w:r w:rsidRPr="00E06F8B">
        <w:t>Berliner</w:t>
      </w:r>
      <w:r w:rsidR="000E4CF5">
        <w:t xml:space="preserve"> </w:t>
      </w:r>
      <w:r w:rsidRPr="00E06F8B">
        <w:t>&amp;</w:t>
      </w:r>
      <w:r w:rsidR="000E4CF5">
        <w:t xml:space="preserve"> </w:t>
      </w:r>
      <w:r w:rsidRPr="00E06F8B">
        <w:t>R.</w:t>
      </w:r>
      <w:r w:rsidR="000E4CF5">
        <w:t xml:space="preserve"> </w:t>
      </w:r>
      <w:r w:rsidRPr="00E06F8B">
        <w:t>C.</w:t>
      </w:r>
      <w:r w:rsidR="000E4CF5">
        <w:t xml:space="preserve"> </w:t>
      </w:r>
      <w:proofErr w:type="spellStart"/>
      <w:r w:rsidRPr="00E06F8B">
        <w:t>Calfee</w:t>
      </w:r>
      <w:proofErr w:type="spellEnd"/>
      <w:r w:rsidR="000E4CF5">
        <w:t xml:space="preserve"> </w:t>
      </w:r>
      <w:r w:rsidRPr="00E06F8B">
        <w:t>(Eds.),</w:t>
      </w:r>
      <w:r w:rsidR="000E4CF5">
        <w:t xml:space="preserve"> </w:t>
      </w:r>
      <w:r w:rsidRPr="00E06F8B">
        <w:rPr>
          <w:i/>
        </w:rPr>
        <w:t>Handbook</w:t>
      </w:r>
      <w:r w:rsidR="000E4CF5">
        <w:rPr>
          <w:i/>
        </w:rPr>
        <w:t xml:space="preserve"> </w:t>
      </w:r>
      <w:r w:rsidRPr="00E06F8B">
        <w:rPr>
          <w:i/>
        </w:rPr>
        <w:t>of</w:t>
      </w:r>
      <w:r w:rsidR="000E4CF5">
        <w:rPr>
          <w:i/>
        </w:rPr>
        <w:t xml:space="preserve"> </w:t>
      </w:r>
      <w:r w:rsidRPr="00E06F8B">
        <w:rPr>
          <w:i/>
        </w:rPr>
        <w:t>educational</w:t>
      </w:r>
      <w:r w:rsidR="000E4CF5">
        <w:rPr>
          <w:i/>
        </w:rPr>
        <w:t xml:space="preserve"> </w:t>
      </w:r>
      <w:r w:rsidRPr="00E06F8B">
        <w:rPr>
          <w:i/>
        </w:rPr>
        <w:t>psychology</w:t>
      </w:r>
      <w:r w:rsidR="000E4CF5">
        <w:t xml:space="preserve"> </w:t>
      </w:r>
      <w:r w:rsidRPr="00E06F8B">
        <w:t>(pp.</w:t>
      </w:r>
      <w:r w:rsidR="000E4CF5">
        <w:t xml:space="preserve"> </w:t>
      </w:r>
      <w:r w:rsidRPr="00E06F8B">
        <w:t>709–725).</w:t>
      </w:r>
      <w:r w:rsidR="000E4CF5">
        <w:t xml:space="preserve"> </w:t>
      </w:r>
      <w:r w:rsidRPr="00E06F8B">
        <w:t>New</w:t>
      </w:r>
      <w:r w:rsidR="000E4CF5">
        <w:t xml:space="preserve"> </w:t>
      </w:r>
      <w:r w:rsidRPr="00E06F8B">
        <w:t>York:</w:t>
      </w:r>
      <w:r w:rsidR="000E4CF5">
        <w:t xml:space="preserve"> </w:t>
      </w:r>
      <w:r w:rsidRPr="00E06F8B">
        <w:t>Macmillan.</w:t>
      </w:r>
    </w:p>
    <w:p w14:paraId="7DB0A058" w14:textId="77777777" w:rsidR="007D04A1" w:rsidRPr="00E06F8B" w:rsidRDefault="007D04A1" w:rsidP="00B90BA5">
      <w:pPr>
        <w:pStyle w:val="SEI-ReferenceList"/>
      </w:pPr>
      <w:proofErr w:type="gramStart"/>
      <w:r w:rsidRPr="00E06F8B">
        <w:t>Chai,</w:t>
      </w:r>
      <w:r w:rsidR="000E4CF5">
        <w:t xml:space="preserve"> </w:t>
      </w:r>
      <w:r w:rsidRPr="00E06F8B">
        <w:t>C.</w:t>
      </w:r>
      <w:r w:rsidR="000E4CF5">
        <w:t xml:space="preserve"> </w:t>
      </w:r>
      <w:r w:rsidRPr="00E06F8B">
        <w:t>S.,</w:t>
      </w:r>
      <w:r w:rsidR="000E4CF5">
        <w:t xml:space="preserve"> </w:t>
      </w:r>
      <w:r w:rsidRPr="00E06F8B">
        <w:t>Deng,</w:t>
      </w:r>
      <w:r w:rsidR="000E4CF5">
        <w:t xml:space="preserve"> </w:t>
      </w:r>
      <w:r w:rsidRPr="00E06F8B">
        <w:t>F.,</w:t>
      </w:r>
      <w:r w:rsidR="000E4CF5">
        <w:t xml:space="preserve"> </w:t>
      </w:r>
      <w:r w:rsidRPr="00E06F8B">
        <w:t>Wong,</w:t>
      </w:r>
      <w:r w:rsidR="000E4CF5">
        <w:t xml:space="preserve"> </w:t>
      </w:r>
      <w:r w:rsidRPr="00E06F8B">
        <w:t>B.,</w:t>
      </w:r>
      <w:r w:rsidR="000E4CF5">
        <w:t xml:space="preserve"> </w:t>
      </w:r>
      <w:r w:rsidRPr="00E06F8B">
        <w:t>&amp;</w:t>
      </w:r>
      <w:r w:rsidR="000E4CF5">
        <w:t xml:space="preserve"> </w:t>
      </w:r>
      <w:proofErr w:type="spellStart"/>
      <w:r w:rsidRPr="00E06F8B">
        <w:t>Qian</w:t>
      </w:r>
      <w:proofErr w:type="spellEnd"/>
      <w:r w:rsidRPr="00E06F8B">
        <w:t>,</w:t>
      </w:r>
      <w:r w:rsidR="000E4CF5">
        <w:t xml:space="preserve"> </w:t>
      </w:r>
      <w:r w:rsidRPr="00E06F8B">
        <w:t>Y.</w:t>
      </w:r>
      <w:r w:rsidR="000E4CF5">
        <w:t xml:space="preserve"> </w:t>
      </w:r>
      <w:r w:rsidRPr="00E06F8B">
        <w:t>(2010).</w:t>
      </w:r>
      <w:proofErr w:type="gramEnd"/>
      <w:r w:rsidR="000E4CF5">
        <w:t xml:space="preserve"> </w:t>
      </w:r>
      <w:proofErr w:type="gramStart"/>
      <w:r w:rsidRPr="00E06F8B">
        <w:t>South</w:t>
      </w:r>
      <w:r w:rsidR="000E4CF5">
        <w:t xml:space="preserve"> </w:t>
      </w:r>
      <w:r w:rsidRPr="00E06F8B">
        <w:t>China</w:t>
      </w:r>
      <w:r w:rsidR="000E4CF5">
        <w:t xml:space="preserve"> </w:t>
      </w:r>
      <w:r w:rsidRPr="00E06F8B">
        <w:t>educ</w:t>
      </w:r>
      <w:r w:rsidRPr="00E06F8B">
        <w:t>a</w:t>
      </w:r>
      <w:r w:rsidRPr="00E06F8B">
        <w:t>tion</w:t>
      </w:r>
      <w:r w:rsidR="000E4CF5">
        <w:t xml:space="preserve"> </w:t>
      </w:r>
      <w:r w:rsidRPr="00E06F8B">
        <w:t>majors’</w:t>
      </w:r>
      <w:r w:rsidR="000E4CF5">
        <w:t xml:space="preserve"> </w:t>
      </w:r>
      <w:r w:rsidRPr="00E06F8B">
        <w:t>epistemological</w:t>
      </w:r>
      <w:r w:rsidR="000E4CF5">
        <w:t xml:space="preserve"> </w:t>
      </w:r>
      <w:r w:rsidRPr="00E06F8B">
        <w:t>beliefs</w:t>
      </w:r>
      <w:r w:rsidR="000E4CF5">
        <w:t xml:space="preserve"> </w:t>
      </w:r>
      <w:r w:rsidRPr="00E06F8B">
        <w:t>and</w:t>
      </w:r>
      <w:r w:rsidR="000E4CF5">
        <w:t xml:space="preserve"> </w:t>
      </w:r>
      <w:r w:rsidRPr="00E06F8B">
        <w:t>their</w:t>
      </w:r>
      <w:r w:rsidR="000E4CF5">
        <w:t xml:space="preserve"> </w:t>
      </w:r>
      <w:r w:rsidRPr="00E06F8B">
        <w:t>conceptions</w:t>
      </w:r>
      <w:r w:rsidR="000E4CF5">
        <w:t xml:space="preserve"> </w:t>
      </w:r>
      <w:r w:rsidRPr="00E06F8B">
        <w:t>of</w:t>
      </w:r>
      <w:r w:rsidR="000E4CF5">
        <w:t xml:space="preserve"> </w:t>
      </w:r>
      <w:r w:rsidRPr="00E06F8B">
        <w:t>the</w:t>
      </w:r>
      <w:r w:rsidR="000E4CF5">
        <w:t xml:space="preserve"> </w:t>
      </w:r>
      <w:r w:rsidRPr="00E06F8B">
        <w:t>n</w:t>
      </w:r>
      <w:r w:rsidRPr="00E06F8B">
        <w:t>a</w:t>
      </w:r>
      <w:r w:rsidRPr="00E06F8B">
        <w:t>ture</w:t>
      </w:r>
      <w:r w:rsidR="000E4CF5">
        <w:t xml:space="preserve"> </w:t>
      </w:r>
      <w:r w:rsidRPr="00E06F8B">
        <w:t>of</w:t>
      </w:r>
      <w:r w:rsidR="000E4CF5">
        <w:t xml:space="preserve"> </w:t>
      </w:r>
      <w:r w:rsidRPr="00E06F8B">
        <w:t>science.</w:t>
      </w:r>
      <w:proofErr w:type="gramEnd"/>
      <w:r w:rsidR="000E4CF5">
        <w:t xml:space="preserve"> </w:t>
      </w:r>
      <w:proofErr w:type="gramStart"/>
      <w:r w:rsidRPr="00E06F8B">
        <w:rPr>
          <w:i/>
        </w:rPr>
        <w:t>The</w:t>
      </w:r>
      <w:r w:rsidR="000E4CF5">
        <w:rPr>
          <w:i/>
        </w:rPr>
        <w:t xml:space="preserve"> </w:t>
      </w:r>
      <w:r w:rsidRPr="00E06F8B">
        <w:rPr>
          <w:i/>
        </w:rPr>
        <w:t>Asia-Pacific</w:t>
      </w:r>
      <w:r w:rsidR="000E4CF5">
        <w:rPr>
          <w:i/>
        </w:rPr>
        <w:t xml:space="preserve"> </w:t>
      </w:r>
      <w:r w:rsidRPr="00E06F8B">
        <w:rPr>
          <w:i/>
        </w:rPr>
        <w:t>Education</w:t>
      </w:r>
      <w:r w:rsidR="000E4CF5">
        <w:rPr>
          <w:i/>
        </w:rPr>
        <w:t xml:space="preserve"> </w:t>
      </w:r>
      <w:r w:rsidRPr="00E06F8B">
        <w:rPr>
          <w:i/>
        </w:rPr>
        <w:t>Researcher,</w:t>
      </w:r>
      <w:r w:rsidR="000E4CF5">
        <w:rPr>
          <w:i/>
        </w:rPr>
        <w:t xml:space="preserve"> </w:t>
      </w:r>
      <w:r w:rsidRPr="00E06F8B">
        <w:rPr>
          <w:i/>
        </w:rPr>
        <w:t>19</w:t>
      </w:r>
      <w:r w:rsidR="002E4E67">
        <w:t>(1)</w:t>
      </w:r>
      <w:r w:rsidRPr="00E06F8B">
        <w:t>,</w:t>
      </w:r>
      <w:r w:rsidR="000E4CF5">
        <w:t xml:space="preserve"> </w:t>
      </w:r>
      <w:r w:rsidRPr="00E06F8B">
        <w:t>111-125.</w:t>
      </w:r>
      <w:proofErr w:type="gramEnd"/>
    </w:p>
    <w:p w14:paraId="7C0445AE" w14:textId="77777777" w:rsidR="007D04A1" w:rsidRPr="00E06F8B" w:rsidRDefault="007D04A1" w:rsidP="00B90BA5">
      <w:pPr>
        <w:pStyle w:val="SEI-ReferenceList"/>
      </w:pPr>
      <w:proofErr w:type="gramStart"/>
      <w:r w:rsidRPr="00E06F8B">
        <w:t>Chai,</w:t>
      </w:r>
      <w:r w:rsidR="000E4CF5">
        <w:t xml:space="preserve"> </w:t>
      </w:r>
      <w:r w:rsidRPr="00E06F8B">
        <w:t>C.</w:t>
      </w:r>
      <w:r w:rsidR="000E4CF5">
        <w:t xml:space="preserve"> </w:t>
      </w:r>
      <w:r w:rsidRPr="00E06F8B">
        <w:t>S.,</w:t>
      </w:r>
      <w:r w:rsidR="000E4CF5">
        <w:t xml:space="preserve"> </w:t>
      </w:r>
      <w:proofErr w:type="spellStart"/>
      <w:r w:rsidRPr="00E06F8B">
        <w:t>Teo</w:t>
      </w:r>
      <w:proofErr w:type="spellEnd"/>
      <w:r w:rsidRPr="00E06F8B">
        <w:t>,</w:t>
      </w:r>
      <w:r w:rsidR="000E4CF5">
        <w:t xml:space="preserve"> </w:t>
      </w:r>
      <w:r w:rsidRPr="00E06F8B">
        <w:t>T.,</w:t>
      </w:r>
      <w:r w:rsidR="000E4CF5">
        <w:t xml:space="preserve"> </w:t>
      </w:r>
      <w:r w:rsidRPr="00E06F8B">
        <w:t>&amp;</w:t>
      </w:r>
      <w:r w:rsidR="000E4CF5">
        <w:t xml:space="preserve"> </w:t>
      </w:r>
      <w:r w:rsidRPr="00E06F8B">
        <w:t>Lee,</w:t>
      </w:r>
      <w:r w:rsidR="000E4CF5">
        <w:t xml:space="preserve"> </w:t>
      </w:r>
      <w:r w:rsidRPr="00E06F8B">
        <w:t>C.</w:t>
      </w:r>
      <w:r w:rsidR="000E4CF5">
        <w:t xml:space="preserve"> </w:t>
      </w:r>
      <w:r w:rsidRPr="00E06F8B">
        <w:t>B.</w:t>
      </w:r>
      <w:r w:rsidR="000E4CF5">
        <w:t xml:space="preserve"> </w:t>
      </w:r>
      <w:r w:rsidRPr="00E06F8B">
        <w:t>(2010).</w:t>
      </w:r>
      <w:proofErr w:type="gramEnd"/>
      <w:r w:rsidR="000E4CF5">
        <w:t xml:space="preserve"> </w:t>
      </w:r>
      <w:proofErr w:type="spellStart"/>
      <w:r w:rsidRPr="00E06F8B">
        <w:t>Modelling</w:t>
      </w:r>
      <w:proofErr w:type="spellEnd"/>
      <w:r w:rsidR="000E4CF5">
        <w:t xml:space="preserve"> </w:t>
      </w:r>
      <w:r w:rsidRPr="00E06F8B">
        <w:t>the</w:t>
      </w:r>
      <w:r w:rsidR="000E4CF5">
        <w:t xml:space="preserve"> </w:t>
      </w:r>
      <w:r w:rsidRPr="00E06F8B">
        <w:t>relationships</w:t>
      </w:r>
      <w:r w:rsidR="000E4CF5">
        <w:t xml:space="preserve"> </w:t>
      </w:r>
      <w:r w:rsidRPr="00E06F8B">
        <w:t>among</w:t>
      </w:r>
      <w:r w:rsidR="000E4CF5">
        <w:t xml:space="preserve"> </w:t>
      </w:r>
      <w:r w:rsidRPr="00E06F8B">
        <w:t>beliefs</w:t>
      </w:r>
      <w:r w:rsidR="000E4CF5">
        <w:t xml:space="preserve"> </w:t>
      </w:r>
      <w:r w:rsidRPr="00E06F8B">
        <w:t>about</w:t>
      </w:r>
      <w:r w:rsidR="000E4CF5">
        <w:t xml:space="preserve"> </w:t>
      </w:r>
      <w:r w:rsidRPr="00E06F8B">
        <w:t>learning,</w:t>
      </w:r>
      <w:r w:rsidR="000E4CF5">
        <w:t xml:space="preserve"> </w:t>
      </w:r>
      <w:r w:rsidRPr="00E06F8B">
        <w:t>knowledge,</w:t>
      </w:r>
      <w:r w:rsidR="000E4CF5">
        <w:t xml:space="preserve"> </w:t>
      </w:r>
      <w:r w:rsidRPr="00E06F8B">
        <w:t>and</w:t>
      </w:r>
      <w:r w:rsidR="000E4CF5">
        <w:t xml:space="preserve"> </w:t>
      </w:r>
      <w:r w:rsidRPr="00E06F8B">
        <w:t>teaching</w:t>
      </w:r>
      <w:r w:rsidR="000E4CF5">
        <w:t xml:space="preserve"> </w:t>
      </w:r>
      <w:r w:rsidRPr="00E06F8B">
        <w:t>of</w:t>
      </w:r>
      <w:r w:rsidR="000E4CF5">
        <w:t xml:space="preserve"> </w:t>
      </w:r>
      <w:r w:rsidRPr="00E06F8B">
        <w:t>pre-service</w:t>
      </w:r>
      <w:r w:rsidR="000E4CF5">
        <w:t xml:space="preserve"> </w:t>
      </w:r>
      <w:r w:rsidRPr="00E06F8B">
        <w:t>teachers</w:t>
      </w:r>
      <w:r w:rsidR="000E4CF5">
        <w:t xml:space="preserve"> </w:t>
      </w:r>
      <w:r w:rsidRPr="00E06F8B">
        <w:t>in</w:t>
      </w:r>
      <w:r w:rsidR="000E4CF5">
        <w:t xml:space="preserve"> </w:t>
      </w:r>
      <w:r w:rsidRPr="00E06F8B">
        <w:t>Singapore.</w:t>
      </w:r>
      <w:r w:rsidR="000E4CF5">
        <w:t xml:space="preserve"> </w:t>
      </w:r>
      <w:proofErr w:type="gramStart"/>
      <w:r w:rsidRPr="00E06F8B">
        <w:rPr>
          <w:i/>
        </w:rPr>
        <w:t>The</w:t>
      </w:r>
      <w:r w:rsidR="000E4CF5">
        <w:rPr>
          <w:i/>
        </w:rPr>
        <w:t xml:space="preserve"> </w:t>
      </w:r>
      <w:r w:rsidRPr="00E06F8B">
        <w:rPr>
          <w:i/>
        </w:rPr>
        <w:t>Asia-Pacific</w:t>
      </w:r>
      <w:r w:rsidR="000E4CF5">
        <w:rPr>
          <w:i/>
        </w:rPr>
        <w:t xml:space="preserve"> </w:t>
      </w:r>
      <w:r w:rsidRPr="00E06F8B">
        <w:rPr>
          <w:i/>
        </w:rPr>
        <w:t>Education</w:t>
      </w:r>
      <w:r w:rsidR="000E4CF5">
        <w:rPr>
          <w:i/>
        </w:rPr>
        <w:t xml:space="preserve"> </w:t>
      </w:r>
      <w:r w:rsidRPr="00E06F8B">
        <w:rPr>
          <w:i/>
        </w:rPr>
        <w:t>Researcher,</w:t>
      </w:r>
      <w:r w:rsidR="000E4CF5">
        <w:rPr>
          <w:i/>
        </w:rPr>
        <w:t xml:space="preserve"> </w:t>
      </w:r>
      <w:r w:rsidRPr="00E06F8B">
        <w:rPr>
          <w:i/>
        </w:rPr>
        <w:t>19</w:t>
      </w:r>
      <w:r w:rsidR="002E4E67">
        <w:t>(1)</w:t>
      </w:r>
      <w:r w:rsidRPr="00E06F8B">
        <w:t>,</w:t>
      </w:r>
      <w:r w:rsidR="000E4CF5">
        <w:t xml:space="preserve"> </w:t>
      </w:r>
      <w:r w:rsidRPr="00E06F8B">
        <w:t>25-42.</w:t>
      </w:r>
      <w:proofErr w:type="gramEnd"/>
    </w:p>
    <w:p w14:paraId="4AF20BD6" w14:textId="77777777" w:rsidR="007D04A1" w:rsidRPr="00E06F8B" w:rsidRDefault="007D04A1" w:rsidP="00B90BA5">
      <w:pPr>
        <w:pStyle w:val="SEI-ReferenceList"/>
      </w:pPr>
      <w:r w:rsidRPr="00E06F8B">
        <w:t>Chan,</w:t>
      </w:r>
      <w:r w:rsidR="000E4CF5">
        <w:t xml:space="preserve"> </w:t>
      </w:r>
      <w:r w:rsidRPr="00E06F8B">
        <w:t>K.W.</w:t>
      </w:r>
      <w:r w:rsidR="000E4CF5">
        <w:t xml:space="preserve"> </w:t>
      </w:r>
      <w:r w:rsidRPr="00E06F8B">
        <w:t>(2010).</w:t>
      </w:r>
      <w:r w:rsidR="000E4CF5">
        <w:t xml:space="preserve"> </w:t>
      </w:r>
      <w:proofErr w:type="gramStart"/>
      <w:r w:rsidRPr="00E06F8B">
        <w:t>The</w:t>
      </w:r>
      <w:r w:rsidR="000E4CF5">
        <w:t xml:space="preserve"> </w:t>
      </w:r>
      <w:r w:rsidRPr="00E06F8B">
        <w:t>role</w:t>
      </w:r>
      <w:r w:rsidR="000E4CF5">
        <w:t xml:space="preserve"> </w:t>
      </w:r>
      <w:r w:rsidRPr="00E06F8B">
        <w:t>of</w:t>
      </w:r>
      <w:r w:rsidR="000E4CF5">
        <w:t xml:space="preserve"> </w:t>
      </w:r>
      <w:r w:rsidRPr="00E06F8B">
        <w:t>epistemological</w:t>
      </w:r>
      <w:r w:rsidR="000E4CF5">
        <w:t xml:space="preserve"> </w:t>
      </w:r>
      <w:r w:rsidRPr="00E06F8B">
        <w:t>beliefs</w:t>
      </w:r>
      <w:r w:rsidR="000E4CF5">
        <w:t xml:space="preserve"> </w:t>
      </w:r>
      <w:r w:rsidRPr="00E06F8B">
        <w:t>in</w:t>
      </w:r>
      <w:r w:rsidR="000E4CF5">
        <w:t xml:space="preserve"> </w:t>
      </w:r>
      <w:r w:rsidRPr="00E06F8B">
        <w:t>Hong</w:t>
      </w:r>
      <w:r w:rsidR="000E4CF5">
        <w:t xml:space="preserve"> </w:t>
      </w:r>
      <w:r w:rsidRPr="00E06F8B">
        <w:t>Kong</w:t>
      </w:r>
      <w:r w:rsidR="000E4CF5">
        <w:t xml:space="preserve"> </w:t>
      </w:r>
      <w:r w:rsidRPr="00E06F8B">
        <w:t>pre-</w:t>
      </w:r>
      <w:r w:rsidR="000E4CF5">
        <w:t xml:space="preserve"> </w:t>
      </w:r>
      <w:r w:rsidRPr="00E06F8B">
        <w:t>service</w:t>
      </w:r>
      <w:r w:rsidR="000E4CF5">
        <w:t xml:space="preserve"> </w:t>
      </w:r>
      <w:r w:rsidRPr="00E06F8B">
        <w:t>teachers’</w:t>
      </w:r>
      <w:r w:rsidR="000E4CF5">
        <w:t xml:space="preserve"> </w:t>
      </w:r>
      <w:r w:rsidRPr="00E06F8B">
        <w:t>learning.</w:t>
      </w:r>
      <w:proofErr w:type="gramEnd"/>
      <w:r w:rsidR="000E4CF5">
        <w:t xml:space="preserve"> </w:t>
      </w:r>
      <w:proofErr w:type="gramStart"/>
      <w:r w:rsidRPr="00E06F8B">
        <w:rPr>
          <w:i/>
          <w:iCs/>
        </w:rPr>
        <w:t>Asia-Pacific</w:t>
      </w:r>
      <w:r w:rsidR="000E4CF5">
        <w:rPr>
          <w:i/>
          <w:iCs/>
        </w:rPr>
        <w:t xml:space="preserve"> </w:t>
      </w:r>
      <w:r w:rsidRPr="00E06F8B">
        <w:rPr>
          <w:i/>
          <w:iCs/>
        </w:rPr>
        <w:t>Education</w:t>
      </w:r>
      <w:r w:rsidR="000E4CF5">
        <w:rPr>
          <w:i/>
          <w:iCs/>
        </w:rPr>
        <w:t xml:space="preserve"> </w:t>
      </w:r>
      <w:r w:rsidRPr="00E06F8B">
        <w:rPr>
          <w:i/>
          <w:iCs/>
        </w:rPr>
        <w:t>Researcher,</w:t>
      </w:r>
      <w:r w:rsidR="000E4CF5">
        <w:rPr>
          <w:i/>
          <w:iCs/>
        </w:rPr>
        <w:t xml:space="preserve"> </w:t>
      </w:r>
      <w:r w:rsidRPr="00E06F8B">
        <w:rPr>
          <w:i/>
          <w:iCs/>
        </w:rPr>
        <w:t>19</w:t>
      </w:r>
      <w:r w:rsidRPr="00E06F8B">
        <w:t>(1),</w:t>
      </w:r>
      <w:r w:rsidR="000E4CF5">
        <w:t xml:space="preserve"> </w:t>
      </w:r>
      <w:r w:rsidRPr="00E06F8B">
        <w:t>7-24.</w:t>
      </w:r>
      <w:proofErr w:type="gramEnd"/>
    </w:p>
    <w:p w14:paraId="42BCF2AC" w14:textId="77777777" w:rsidR="007D04A1" w:rsidRPr="00E06F8B" w:rsidRDefault="007D04A1" w:rsidP="00B90BA5">
      <w:pPr>
        <w:pStyle w:val="SEI-ReferenceList"/>
      </w:pPr>
      <w:r w:rsidRPr="00E06F8B">
        <w:lastRenderedPageBreak/>
        <w:t>Darling-Hammond,</w:t>
      </w:r>
      <w:r w:rsidR="000E4CF5">
        <w:t xml:space="preserve"> </w:t>
      </w:r>
      <w:r w:rsidRPr="00E06F8B">
        <w:t>L.,</w:t>
      </w:r>
      <w:r w:rsidR="000E4CF5">
        <w:t xml:space="preserve"> </w:t>
      </w:r>
      <w:r w:rsidRPr="00E06F8B">
        <w:t>&amp;</w:t>
      </w:r>
      <w:r w:rsidR="000E4CF5">
        <w:t xml:space="preserve"> </w:t>
      </w:r>
      <w:proofErr w:type="spellStart"/>
      <w:r w:rsidRPr="00E06F8B">
        <w:t>Youngs</w:t>
      </w:r>
      <w:proofErr w:type="spellEnd"/>
      <w:r w:rsidRPr="00E06F8B">
        <w:t>,</w:t>
      </w:r>
      <w:r w:rsidR="000E4CF5">
        <w:t xml:space="preserve"> </w:t>
      </w:r>
      <w:r w:rsidRPr="00E06F8B">
        <w:t>P.</w:t>
      </w:r>
      <w:r w:rsidR="000E4CF5">
        <w:t xml:space="preserve"> </w:t>
      </w:r>
      <w:r w:rsidRPr="00E06F8B">
        <w:t>(2002).</w:t>
      </w:r>
      <w:r w:rsidR="000E4CF5">
        <w:t xml:space="preserve"> </w:t>
      </w:r>
      <w:r w:rsidRPr="00E06F8B">
        <w:t>Defining</w:t>
      </w:r>
      <w:r w:rsidR="000E4CF5">
        <w:t xml:space="preserve"> </w:t>
      </w:r>
      <w:r w:rsidRPr="00E06F8B">
        <w:t>“highly</w:t>
      </w:r>
      <w:r w:rsidR="000E4CF5">
        <w:t xml:space="preserve"> </w:t>
      </w:r>
      <w:r w:rsidRPr="00E06F8B">
        <w:t>qualified</w:t>
      </w:r>
      <w:r w:rsidR="000E4CF5">
        <w:t xml:space="preserve"> </w:t>
      </w:r>
      <w:r w:rsidRPr="00E06F8B">
        <w:t>teachers”:</w:t>
      </w:r>
      <w:r w:rsidR="000E4CF5">
        <w:t xml:space="preserve"> </w:t>
      </w:r>
      <w:r w:rsidRPr="00E06F8B">
        <w:t>What</w:t>
      </w:r>
      <w:r w:rsidR="000E4CF5">
        <w:t xml:space="preserve"> </w:t>
      </w:r>
      <w:r w:rsidRPr="00E06F8B">
        <w:t>does</w:t>
      </w:r>
      <w:r w:rsidR="000E4CF5">
        <w:t xml:space="preserve"> </w:t>
      </w:r>
      <w:r w:rsidRPr="00E06F8B">
        <w:t>“scientifically-based</w:t>
      </w:r>
      <w:r w:rsidR="000E4CF5">
        <w:t xml:space="preserve"> </w:t>
      </w:r>
      <w:r w:rsidRPr="00E06F8B">
        <w:t>research”</w:t>
      </w:r>
      <w:r w:rsidR="000E4CF5">
        <w:t xml:space="preserve"> </w:t>
      </w:r>
      <w:r w:rsidRPr="00E06F8B">
        <w:t>actually</w:t>
      </w:r>
      <w:r w:rsidR="000E4CF5">
        <w:t xml:space="preserve"> </w:t>
      </w:r>
      <w:r w:rsidRPr="00E06F8B">
        <w:t>tell</w:t>
      </w:r>
      <w:r w:rsidR="000E4CF5">
        <w:t xml:space="preserve"> </w:t>
      </w:r>
      <w:r w:rsidRPr="00E06F8B">
        <w:t>us?</w:t>
      </w:r>
      <w:r w:rsidR="000E4CF5">
        <w:t xml:space="preserve"> </w:t>
      </w:r>
      <w:r w:rsidRPr="00E06F8B">
        <w:rPr>
          <w:i/>
          <w:iCs/>
        </w:rPr>
        <w:t>Educational</w:t>
      </w:r>
      <w:r w:rsidR="000E4CF5">
        <w:rPr>
          <w:i/>
          <w:iCs/>
        </w:rPr>
        <w:t xml:space="preserve"> </w:t>
      </w:r>
      <w:r w:rsidRPr="00E06F8B">
        <w:rPr>
          <w:i/>
          <w:iCs/>
        </w:rPr>
        <w:t>Researcher,</w:t>
      </w:r>
      <w:r w:rsidR="000E4CF5">
        <w:rPr>
          <w:i/>
          <w:iCs/>
        </w:rPr>
        <w:t xml:space="preserve"> </w:t>
      </w:r>
      <w:r w:rsidRPr="00E06F8B">
        <w:rPr>
          <w:i/>
          <w:iCs/>
        </w:rPr>
        <w:t>31</w:t>
      </w:r>
      <w:r w:rsidRPr="00E06F8B">
        <w:t>(9),</w:t>
      </w:r>
      <w:r w:rsidR="000E4CF5">
        <w:t xml:space="preserve"> </w:t>
      </w:r>
      <w:r w:rsidRPr="00E06F8B">
        <w:t>13–25.</w:t>
      </w:r>
    </w:p>
    <w:p w14:paraId="65B699D5" w14:textId="77777777" w:rsidR="007D04A1" w:rsidRPr="00E06F8B" w:rsidRDefault="007D04A1" w:rsidP="00B90BA5">
      <w:pPr>
        <w:pStyle w:val="SEI-ReferenceList"/>
      </w:pPr>
      <w:proofErr w:type="spellStart"/>
      <w:r w:rsidRPr="00E06F8B">
        <w:rPr>
          <w:lang w:eastAsia="tr-TR"/>
        </w:rPr>
        <w:t>DeVellis</w:t>
      </w:r>
      <w:proofErr w:type="spellEnd"/>
      <w:r w:rsidR="000E4CF5">
        <w:rPr>
          <w:lang w:eastAsia="tr-TR"/>
        </w:rPr>
        <w:t xml:space="preserve"> </w:t>
      </w:r>
      <w:r w:rsidRPr="00E06F8B">
        <w:rPr>
          <w:lang w:eastAsia="tr-TR"/>
        </w:rPr>
        <w:t>R.</w:t>
      </w:r>
      <w:r w:rsidR="000E4CF5">
        <w:rPr>
          <w:lang w:eastAsia="tr-TR"/>
        </w:rPr>
        <w:t xml:space="preserve"> </w:t>
      </w:r>
      <w:r w:rsidRPr="00E06F8B">
        <w:rPr>
          <w:lang w:eastAsia="tr-TR"/>
        </w:rPr>
        <w:t>F.</w:t>
      </w:r>
      <w:r w:rsidR="000E4CF5">
        <w:rPr>
          <w:lang w:eastAsia="tr-TR"/>
        </w:rPr>
        <w:t xml:space="preserve"> </w:t>
      </w:r>
      <w:r w:rsidRPr="00E06F8B">
        <w:rPr>
          <w:lang w:eastAsia="tr-TR"/>
        </w:rPr>
        <w:t>(1991).</w:t>
      </w:r>
      <w:r w:rsidR="000E4CF5">
        <w:rPr>
          <w:lang w:eastAsia="tr-TR"/>
        </w:rPr>
        <w:t xml:space="preserve"> </w:t>
      </w:r>
      <w:r w:rsidRPr="00E06F8B">
        <w:rPr>
          <w:i/>
          <w:lang w:eastAsia="tr-TR"/>
        </w:rPr>
        <w:t>Scale</w:t>
      </w:r>
      <w:r w:rsidR="000E4CF5">
        <w:rPr>
          <w:i/>
          <w:lang w:eastAsia="tr-TR"/>
        </w:rPr>
        <w:t xml:space="preserve"> </w:t>
      </w:r>
      <w:r w:rsidRPr="00E06F8B">
        <w:rPr>
          <w:i/>
          <w:lang w:eastAsia="tr-TR"/>
        </w:rPr>
        <w:t>development</w:t>
      </w:r>
      <w:r w:rsidRPr="00E06F8B">
        <w:rPr>
          <w:lang w:eastAsia="tr-TR"/>
        </w:rPr>
        <w:t>.</w:t>
      </w:r>
      <w:r w:rsidR="000E4CF5">
        <w:rPr>
          <w:lang w:eastAsia="tr-TR"/>
        </w:rPr>
        <w:t xml:space="preserve"> </w:t>
      </w:r>
      <w:r w:rsidRPr="00E06F8B">
        <w:rPr>
          <w:lang w:eastAsia="tr-TR"/>
        </w:rPr>
        <w:t>Newbury</w:t>
      </w:r>
      <w:r w:rsidR="000E4CF5">
        <w:rPr>
          <w:lang w:eastAsia="tr-TR"/>
        </w:rPr>
        <w:t xml:space="preserve"> </w:t>
      </w:r>
      <w:r w:rsidRPr="00E06F8B">
        <w:rPr>
          <w:lang w:eastAsia="tr-TR"/>
        </w:rPr>
        <w:t>Park,</w:t>
      </w:r>
      <w:r w:rsidR="000E4CF5">
        <w:rPr>
          <w:lang w:eastAsia="tr-TR"/>
        </w:rPr>
        <w:t xml:space="preserve"> </w:t>
      </w:r>
      <w:r w:rsidRPr="00E06F8B">
        <w:rPr>
          <w:lang w:eastAsia="tr-TR"/>
        </w:rPr>
        <w:t>NJ:</w:t>
      </w:r>
      <w:r w:rsidR="000E4CF5">
        <w:rPr>
          <w:lang w:eastAsia="tr-TR"/>
        </w:rPr>
        <w:t xml:space="preserve"> </w:t>
      </w:r>
      <w:r w:rsidRPr="00E06F8B">
        <w:rPr>
          <w:lang w:eastAsia="tr-TR"/>
        </w:rPr>
        <w:t>Sage</w:t>
      </w:r>
      <w:r w:rsidR="000E4CF5">
        <w:rPr>
          <w:lang w:eastAsia="tr-TR"/>
        </w:rPr>
        <w:t xml:space="preserve"> </w:t>
      </w:r>
      <w:r w:rsidRPr="00E06F8B">
        <w:rPr>
          <w:lang w:eastAsia="tr-TR"/>
        </w:rPr>
        <w:t>Publ</w:t>
      </w:r>
      <w:r w:rsidRPr="00E06F8B">
        <w:rPr>
          <w:lang w:eastAsia="tr-TR"/>
        </w:rPr>
        <w:t>i</w:t>
      </w:r>
      <w:r w:rsidRPr="00E06F8B">
        <w:rPr>
          <w:lang w:eastAsia="tr-TR"/>
        </w:rPr>
        <w:t>cations.</w:t>
      </w:r>
    </w:p>
    <w:p w14:paraId="2938690E" w14:textId="77777777" w:rsidR="007D04A1" w:rsidRPr="00E06F8B" w:rsidRDefault="007D04A1" w:rsidP="00B90BA5">
      <w:pPr>
        <w:pStyle w:val="SEI-ReferenceList"/>
      </w:pPr>
      <w:proofErr w:type="spellStart"/>
      <w:r w:rsidRPr="00E06F8B">
        <w:t>Ertmer</w:t>
      </w:r>
      <w:proofErr w:type="spellEnd"/>
      <w:r w:rsidRPr="00E06F8B">
        <w:t>,</w:t>
      </w:r>
      <w:r w:rsidR="000E4CF5">
        <w:t xml:space="preserve"> </w:t>
      </w:r>
      <w:r w:rsidRPr="00E06F8B">
        <w:t>P.</w:t>
      </w:r>
      <w:r w:rsidR="000E4CF5">
        <w:t xml:space="preserve"> </w:t>
      </w:r>
      <w:r w:rsidRPr="00E06F8B">
        <w:t>A.</w:t>
      </w:r>
      <w:r w:rsidR="000E4CF5">
        <w:t xml:space="preserve"> </w:t>
      </w:r>
      <w:r w:rsidRPr="00E06F8B">
        <w:t>(2005).</w:t>
      </w:r>
      <w:r w:rsidR="000E4CF5">
        <w:t xml:space="preserve"> </w:t>
      </w:r>
      <w:r w:rsidRPr="00E06F8B">
        <w:t>Teacher</w:t>
      </w:r>
      <w:r w:rsidR="000E4CF5">
        <w:t xml:space="preserve"> </w:t>
      </w:r>
      <w:r w:rsidRPr="00E06F8B">
        <w:t>pedagogical</w:t>
      </w:r>
      <w:r w:rsidR="000E4CF5">
        <w:t xml:space="preserve"> </w:t>
      </w:r>
      <w:r w:rsidRPr="00E06F8B">
        <w:t>beliefs:</w:t>
      </w:r>
      <w:r w:rsidR="000E4CF5">
        <w:t xml:space="preserve"> </w:t>
      </w:r>
      <w:r w:rsidRPr="00E06F8B">
        <w:t>The</w:t>
      </w:r>
      <w:r w:rsidR="000E4CF5">
        <w:t xml:space="preserve"> </w:t>
      </w:r>
      <w:r w:rsidRPr="00E06F8B">
        <w:t>final</w:t>
      </w:r>
      <w:r w:rsidR="000E4CF5">
        <w:t xml:space="preserve"> </w:t>
      </w:r>
      <w:r w:rsidRPr="00E06F8B">
        <w:t>frontier</w:t>
      </w:r>
      <w:r w:rsidR="000E4CF5">
        <w:t xml:space="preserve"> </w:t>
      </w:r>
      <w:r w:rsidRPr="00E06F8B">
        <w:t>in</w:t>
      </w:r>
      <w:r w:rsidR="000E4CF5">
        <w:t xml:space="preserve"> </w:t>
      </w:r>
      <w:r w:rsidRPr="00E06F8B">
        <w:t>our</w:t>
      </w:r>
      <w:r w:rsidR="000E4CF5">
        <w:t xml:space="preserve"> </w:t>
      </w:r>
      <w:r w:rsidRPr="00E06F8B">
        <w:t>quest</w:t>
      </w:r>
      <w:r w:rsidR="000E4CF5">
        <w:t xml:space="preserve"> </w:t>
      </w:r>
      <w:r w:rsidRPr="00E06F8B">
        <w:t>for</w:t>
      </w:r>
      <w:r w:rsidR="000E4CF5">
        <w:t xml:space="preserve"> </w:t>
      </w:r>
      <w:r w:rsidRPr="00E06F8B">
        <w:t>technology</w:t>
      </w:r>
      <w:r w:rsidR="000E4CF5">
        <w:t xml:space="preserve"> </w:t>
      </w:r>
      <w:r w:rsidRPr="00E06F8B">
        <w:t>integration.</w:t>
      </w:r>
      <w:r w:rsidR="000E4CF5">
        <w:t xml:space="preserve"> </w:t>
      </w:r>
      <w:r w:rsidRPr="00E06F8B">
        <w:rPr>
          <w:i/>
          <w:iCs/>
        </w:rPr>
        <w:t>Educational</w:t>
      </w:r>
      <w:r w:rsidR="000E4CF5">
        <w:rPr>
          <w:i/>
          <w:iCs/>
        </w:rPr>
        <w:t xml:space="preserve"> </w:t>
      </w:r>
      <w:r w:rsidRPr="00E06F8B">
        <w:rPr>
          <w:i/>
          <w:iCs/>
        </w:rPr>
        <w:t>Technology</w:t>
      </w:r>
      <w:r w:rsidR="000E4CF5">
        <w:rPr>
          <w:i/>
          <w:iCs/>
        </w:rPr>
        <w:t xml:space="preserve"> </w:t>
      </w:r>
      <w:r w:rsidRPr="00E06F8B">
        <w:rPr>
          <w:i/>
          <w:iCs/>
        </w:rPr>
        <w:t>R</w:t>
      </w:r>
      <w:r w:rsidRPr="00E06F8B">
        <w:rPr>
          <w:i/>
          <w:iCs/>
        </w:rPr>
        <w:t>e</w:t>
      </w:r>
      <w:r w:rsidRPr="00E06F8B">
        <w:rPr>
          <w:i/>
          <w:iCs/>
        </w:rPr>
        <w:t>search</w:t>
      </w:r>
      <w:r w:rsidR="000E4CF5">
        <w:rPr>
          <w:i/>
          <w:iCs/>
        </w:rPr>
        <w:t xml:space="preserve"> </w:t>
      </w:r>
      <w:r w:rsidRPr="00E06F8B">
        <w:rPr>
          <w:i/>
          <w:iCs/>
        </w:rPr>
        <w:t>and</w:t>
      </w:r>
      <w:r w:rsidR="000E4CF5">
        <w:rPr>
          <w:i/>
          <w:iCs/>
        </w:rPr>
        <w:t xml:space="preserve"> </w:t>
      </w:r>
      <w:r w:rsidRPr="00E06F8B">
        <w:rPr>
          <w:i/>
          <w:iCs/>
        </w:rPr>
        <w:t>Development,</w:t>
      </w:r>
      <w:r w:rsidR="000E4CF5">
        <w:rPr>
          <w:i/>
          <w:iCs/>
        </w:rPr>
        <w:t xml:space="preserve"> </w:t>
      </w:r>
      <w:r w:rsidRPr="00E06F8B">
        <w:rPr>
          <w:i/>
          <w:iCs/>
        </w:rPr>
        <w:t>53</w:t>
      </w:r>
      <w:r w:rsidRPr="00E06F8B">
        <w:t>(4),</w:t>
      </w:r>
      <w:r w:rsidR="000E4CF5">
        <w:t xml:space="preserve"> </w:t>
      </w:r>
      <w:r w:rsidRPr="00E06F8B">
        <w:t>25-39</w:t>
      </w:r>
    </w:p>
    <w:p w14:paraId="74230E68" w14:textId="77777777" w:rsidR="007D04A1" w:rsidRPr="00E06F8B" w:rsidRDefault="007D04A1" w:rsidP="00B90BA5">
      <w:pPr>
        <w:pStyle w:val="SEI-ReferenceList"/>
      </w:pPr>
      <w:proofErr w:type="spellStart"/>
      <w:r w:rsidRPr="00E06F8B">
        <w:t>Golla</w:t>
      </w:r>
      <w:proofErr w:type="spellEnd"/>
      <w:r w:rsidRPr="00E06F8B">
        <w:t>,</w:t>
      </w:r>
      <w:r w:rsidR="000E4CF5">
        <w:t xml:space="preserve"> </w:t>
      </w:r>
      <w:r w:rsidRPr="00E06F8B">
        <w:t>E.</w:t>
      </w:r>
      <w:r w:rsidR="000E4CF5">
        <w:t xml:space="preserve"> </w:t>
      </w:r>
      <w:r w:rsidRPr="00E06F8B">
        <w:t>F.,</w:t>
      </w:r>
      <w:r w:rsidR="000E4CF5">
        <w:t xml:space="preserve"> </w:t>
      </w:r>
      <w:r w:rsidRPr="00E06F8B">
        <w:t>&amp;</w:t>
      </w:r>
      <w:r w:rsidR="000E4CF5">
        <w:t xml:space="preserve"> </w:t>
      </w:r>
      <w:r w:rsidRPr="00E06F8B">
        <w:t>de</w:t>
      </w:r>
      <w:r w:rsidR="000E4CF5">
        <w:t xml:space="preserve"> </w:t>
      </w:r>
      <w:r w:rsidRPr="00E06F8B">
        <w:t>Guzman,</w:t>
      </w:r>
      <w:r w:rsidR="000E4CF5">
        <w:t xml:space="preserve"> </w:t>
      </w:r>
      <w:r w:rsidRPr="00E06F8B">
        <w:t>E.</w:t>
      </w:r>
      <w:r w:rsidR="000E4CF5">
        <w:t xml:space="preserve"> </w:t>
      </w:r>
      <w:r w:rsidRPr="00E06F8B">
        <w:t>S.</w:t>
      </w:r>
      <w:r w:rsidR="000E4CF5">
        <w:t xml:space="preserve"> </w:t>
      </w:r>
      <w:r w:rsidRPr="00E06F8B">
        <w:t>(1998).</w:t>
      </w:r>
      <w:r w:rsidR="000E4CF5">
        <w:t xml:space="preserve"> </w:t>
      </w:r>
      <w:r w:rsidRPr="00E06F8B">
        <w:t>Teacher</w:t>
      </w:r>
      <w:r w:rsidR="000E4CF5">
        <w:t xml:space="preserve"> </w:t>
      </w:r>
      <w:r w:rsidRPr="00E06F8B">
        <w:t>preparation</w:t>
      </w:r>
      <w:r w:rsidR="000E4CF5">
        <w:t xml:space="preserve"> </w:t>
      </w:r>
      <w:r w:rsidRPr="00E06F8B">
        <w:t>in</w:t>
      </w:r>
      <w:r w:rsidR="000E4CF5">
        <w:t xml:space="preserve"> </w:t>
      </w:r>
      <w:r w:rsidRPr="00E06F8B">
        <w:t>science</w:t>
      </w:r>
      <w:r w:rsidR="000E4CF5">
        <w:t xml:space="preserve"> </w:t>
      </w:r>
      <w:r w:rsidRPr="00E06F8B">
        <w:t>and</w:t>
      </w:r>
      <w:r w:rsidR="000E4CF5">
        <w:t xml:space="preserve"> </w:t>
      </w:r>
      <w:r w:rsidRPr="00E06F8B">
        <w:t>mathematics</w:t>
      </w:r>
      <w:r w:rsidR="000E4CF5">
        <w:t xml:space="preserve"> </w:t>
      </w:r>
      <w:r w:rsidRPr="00E06F8B">
        <w:t>education:</w:t>
      </w:r>
      <w:r w:rsidR="000E4CF5">
        <w:t xml:space="preserve"> </w:t>
      </w:r>
      <w:r w:rsidRPr="00E06F8B">
        <w:t>A</w:t>
      </w:r>
      <w:r w:rsidR="000E4CF5">
        <w:t xml:space="preserve"> </w:t>
      </w:r>
      <w:r w:rsidRPr="00E06F8B">
        <w:t>situational</w:t>
      </w:r>
      <w:r w:rsidR="000E4CF5">
        <w:t xml:space="preserve"> </w:t>
      </w:r>
      <w:r w:rsidRPr="00E06F8B">
        <w:t>analysis.</w:t>
      </w:r>
      <w:r w:rsidR="000E4CF5">
        <w:t xml:space="preserve"> </w:t>
      </w:r>
      <w:r w:rsidRPr="00E06F8B">
        <w:t>In</w:t>
      </w:r>
      <w:r w:rsidR="000E4CF5">
        <w:t xml:space="preserve"> </w:t>
      </w:r>
      <w:r w:rsidRPr="00E06F8B">
        <w:t>E.</w:t>
      </w:r>
      <w:r w:rsidR="000E4CF5">
        <w:t xml:space="preserve"> </w:t>
      </w:r>
      <w:r w:rsidRPr="00E06F8B">
        <w:t>B.</w:t>
      </w:r>
      <w:r w:rsidR="000E4CF5">
        <w:t xml:space="preserve"> </w:t>
      </w:r>
      <w:proofErr w:type="spellStart"/>
      <w:r w:rsidRPr="00E06F8B">
        <w:t>Ogena</w:t>
      </w:r>
      <w:proofErr w:type="spellEnd"/>
      <w:r w:rsidR="000E4CF5">
        <w:t xml:space="preserve"> </w:t>
      </w:r>
      <w:r w:rsidRPr="00E06F8B">
        <w:t>&amp;</w:t>
      </w:r>
      <w:r w:rsidR="000E4CF5">
        <w:t xml:space="preserve"> </w:t>
      </w:r>
      <w:r w:rsidRPr="00E06F8B">
        <w:t>F.</w:t>
      </w:r>
      <w:r w:rsidR="000E4CF5">
        <w:t xml:space="preserve"> </w:t>
      </w:r>
      <w:r w:rsidRPr="00E06F8B">
        <w:t>G.</w:t>
      </w:r>
      <w:r w:rsidR="000E4CF5">
        <w:t xml:space="preserve"> </w:t>
      </w:r>
      <w:proofErr w:type="spellStart"/>
      <w:r w:rsidRPr="00E06F8B">
        <w:t>Brawner</w:t>
      </w:r>
      <w:proofErr w:type="spellEnd"/>
      <w:r w:rsidR="000E4CF5">
        <w:t xml:space="preserve"> </w:t>
      </w:r>
      <w:r w:rsidRPr="00E06F8B">
        <w:t>(Eds.)</w:t>
      </w:r>
      <w:r w:rsidR="000E4CF5">
        <w:t xml:space="preserve"> </w:t>
      </w:r>
      <w:r w:rsidRPr="00E06F8B">
        <w:rPr>
          <w:i/>
          <w:iCs/>
        </w:rPr>
        <w:t>Science</w:t>
      </w:r>
      <w:r w:rsidR="000E4CF5">
        <w:rPr>
          <w:i/>
          <w:iCs/>
        </w:rPr>
        <w:t xml:space="preserve"> </w:t>
      </w:r>
      <w:r w:rsidRPr="00E06F8B">
        <w:rPr>
          <w:i/>
          <w:iCs/>
        </w:rPr>
        <w:t>education</w:t>
      </w:r>
      <w:r w:rsidR="000E4CF5">
        <w:rPr>
          <w:i/>
          <w:iCs/>
        </w:rPr>
        <w:t xml:space="preserve"> </w:t>
      </w:r>
      <w:r w:rsidRPr="00E06F8B">
        <w:rPr>
          <w:i/>
          <w:iCs/>
        </w:rPr>
        <w:t>in</w:t>
      </w:r>
      <w:r w:rsidR="000E4CF5">
        <w:rPr>
          <w:i/>
          <w:iCs/>
        </w:rPr>
        <w:t xml:space="preserve"> </w:t>
      </w:r>
      <w:r w:rsidRPr="00E06F8B">
        <w:rPr>
          <w:i/>
          <w:iCs/>
        </w:rPr>
        <w:t>the</w:t>
      </w:r>
      <w:r w:rsidR="000E4CF5">
        <w:rPr>
          <w:i/>
          <w:iCs/>
        </w:rPr>
        <w:t xml:space="preserve"> </w:t>
      </w:r>
      <w:r w:rsidRPr="00E06F8B">
        <w:rPr>
          <w:i/>
          <w:iCs/>
        </w:rPr>
        <w:t>Philippines:</w:t>
      </w:r>
      <w:r w:rsidR="000E4CF5">
        <w:rPr>
          <w:i/>
          <w:iCs/>
        </w:rPr>
        <w:t xml:space="preserve"> </w:t>
      </w:r>
      <w:r w:rsidRPr="00E06F8B">
        <w:rPr>
          <w:i/>
          <w:iCs/>
        </w:rPr>
        <w:t>Challen</w:t>
      </w:r>
      <w:r w:rsidRPr="00E06F8B">
        <w:rPr>
          <w:i/>
          <w:iCs/>
        </w:rPr>
        <w:t>g</w:t>
      </w:r>
      <w:r w:rsidRPr="00E06F8B">
        <w:rPr>
          <w:i/>
          <w:iCs/>
        </w:rPr>
        <w:t>es</w:t>
      </w:r>
      <w:r w:rsidR="000E4CF5">
        <w:rPr>
          <w:i/>
          <w:iCs/>
        </w:rPr>
        <w:t xml:space="preserve"> </w:t>
      </w:r>
      <w:r w:rsidRPr="00E06F8B">
        <w:rPr>
          <w:i/>
          <w:iCs/>
        </w:rPr>
        <w:t>for</w:t>
      </w:r>
      <w:r w:rsidR="000E4CF5">
        <w:rPr>
          <w:i/>
          <w:iCs/>
        </w:rPr>
        <w:t xml:space="preserve"> </w:t>
      </w:r>
      <w:r w:rsidRPr="00E06F8B">
        <w:rPr>
          <w:i/>
          <w:iCs/>
        </w:rPr>
        <w:t>development</w:t>
      </w:r>
      <w:r w:rsidR="000E4CF5">
        <w:rPr>
          <w:iCs/>
        </w:rPr>
        <w:t xml:space="preserve"> </w:t>
      </w:r>
      <w:r w:rsidRPr="00E06F8B">
        <w:rPr>
          <w:iCs/>
        </w:rPr>
        <w:t>(Vol.</w:t>
      </w:r>
      <w:r w:rsidR="000E4CF5">
        <w:rPr>
          <w:iCs/>
        </w:rPr>
        <w:t xml:space="preserve"> </w:t>
      </w:r>
      <w:r w:rsidRPr="00E06F8B">
        <w:rPr>
          <w:iCs/>
        </w:rPr>
        <w:t>1)</w:t>
      </w:r>
      <w:r w:rsidR="000E4CF5">
        <w:rPr>
          <w:iCs/>
        </w:rPr>
        <w:t xml:space="preserve"> </w:t>
      </w:r>
      <w:r w:rsidRPr="00E06F8B">
        <w:rPr>
          <w:iCs/>
        </w:rPr>
        <w:t>(pp.</w:t>
      </w:r>
      <w:r w:rsidR="000E4CF5">
        <w:rPr>
          <w:iCs/>
        </w:rPr>
        <w:t xml:space="preserve"> </w:t>
      </w:r>
      <w:r w:rsidRPr="00E06F8B">
        <w:rPr>
          <w:iCs/>
        </w:rPr>
        <w:t>41-77)</w:t>
      </w:r>
      <w:r w:rsidRPr="00E06F8B">
        <w:rPr>
          <w:i/>
          <w:iCs/>
        </w:rPr>
        <w:t>.</w:t>
      </w:r>
      <w:r w:rsidR="000E4CF5">
        <w:rPr>
          <w:i/>
          <w:iCs/>
        </w:rPr>
        <w:t xml:space="preserve"> </w:t>
      </w:r>
      <w:r w:rsidRPr="00E06F8B">
        <w:t>Manila,</w:t>
      </w:r>
      <w:r w:rsidR="000E4CF5">
        <w:t xml:space="preserve"> </w:t>
      </w:r>
      <w:r w:rsidRPr="00E06F8B">
        <w:t>National</w:t>
      </w:r>
      <w:r w:rsidR="000E4CF5">
        <w:t xml:space="preserve"> </w:t>
      </w:r>
      <w:r w:rsidRPr="00E06F8B">
        <w:t>Academy</w:t>
      </w:r>
      <w:r w:rsidR="000E4CF5">
        <w:t xml:space="preserve"> </w:t>
      </w:r>
      <w:r w:rsidRPr="00E06F8B">
        <w:t>of</w:t>
      </w:r>
      <w:r w:rsidR="000E4CF5">
        <w:t xml:space="preserve"> </w:t>
      </w:r>
      <w:r w:rsidRPr="00E06F8B">
        <w:t>Science</w:t>
      </w:r>
      <w:r w:rsidR="000E4CF5">
        <w:t xml:space="preserve"> </w:t>
      </w:r>
      <w:r w:rsidRPr="00E06F8B">
        <w:t>and</w:t>
      </w:r>
      <w:r w:rsidR="000E4CF5">
        <w:t xml:space="preserve"> </w:t>
      </w:r>
      <w:r w:rsidRPr="00E06F8B">
        <w:t>Technology.</w:t>
      </w:r>
    </w:p>
    <w:p w14:paraId="7FECA131" w14:textId="77777777" w:rsidR="007D04A1" w:rsidRPr="00E06F8B" w:rsidRDefault="007D04A1" w:rsidP="00B90BA5">
      <w:pPr>
        <w:pStyle w:val="SEI-ReferenceList"/>
      </w:pPr>
      <w:proofErr w:type="spellStart"/>
      <w:proofErr w:type="gramStart"/>
      <w:r w:rsidRPr="00E06F8B">
        <w:t>Handa</w:t>
      </w:r>
      <w:proofErr w:type="spellEnd"/>
      <w:r w:rsidRPr="00E06F8B">
        <w:t>,</w:t>
      </w:r>
      <w:r w:rsidR="000E4CF5">
        <w:t xml:space="preserve"> </w:t>
      </w:r>
      <w:r w:rsidRPr="00E06F8B">
        <w:t>V.</w:t>
      </w:r>
      <w:r w:rsidR="000E4CF5">
        <w:t xml:space="preserve"> </w:t>
      </w:r>
      <w:r w:rsidRPr="00E06F8B">
        <w:t>C.,</w:t>
      </w:r>
      <w:r w:rsidR="000E4CF5">
        <w:t xml:space="preserve"> </w:t>
      </w:r>
      <w:r w:rsidRPr="00E06F8B">
        <w:t>&amp;</w:t>
      </w:r>
      <w:r w:rsidR="000E4CF5">
        <w:t xml:space="preserve"> </w:t>
      </w:r>
      <w:proofErr w:type="spellStart"/>
      <w:r w:rsidRPr="00E06F8B">
        <w:t>Tippins</w:t>
      </w:r>
      <w:proofErr w:type="spellEnd"/>
      <w:r w:rsidRPr="00E06F8B">
        <w:t>,</w:t>
      </w:r>
      <w:r w:rsidR="000E4CF5">
        <w:t xml:space="preserve"> </w:t>
      </w:r>
      <w:r w:rsidRPr="00E06F8B">
        <w:t>D.</w:t>
      </w:r>
      <w:r w:rsidR="000E4CF5">
        <w:t xml:space="preserve"> </w:t>
      </w:r>
      <w:r w:rsidRPr="00E06F8B">
        <w:t>J.</w:t>
      </w:r>
      <w:r w:rsidR="000E4CF5">
        <w:t xml:space="preserve"> </w:t>
      </w:r>
      <w:r w:rsidRPr="00E06F8B">
        <w:t>(2012).</w:t>
      </w:r>
      <w:proofErr w:type="gramEnd"/>
      <w:r w:rsidR="000E4CF5">
        <w:t xml:space="preserve"> </w:t>
      </w:r>
      <w:proofErr w:type="gramStart"/>
      <w:r w:rsidRPr="00E06F8B">
        <w:t>Cultural</w:t>
      </w:r>
      <w:r w:rsidR="000E4CF5">
        <w:t xml:space="preserve"> </w:t>
      </w:r>
      <w:r w:rsidRPr="00E06F8B">
        <w:t>memory</w:t>
      </w:r>
      <w:r w:rsidR="000E4CF5">
        <w:t xml:space="preserve"> </w:t>
      </w:r>
      <w:r w:rsidRPr="00E06F8B">
        <w:t>banking</w:t>
      </w:r>
      <w:r w:rsidR="000E4CF5">
        <w:t xml:space="preserve"> </w:t>
      </w:r>
      <w:r w:rsidRPr="00E06F8B">
        <w:t>in</w:t>
      </w:r>
      <w:r w:rsidR="000E4CF5">
        <w:t xml:space="preserve"> </w:t>
      </w:r>
      <w:r w:rsidRPr="00E06F8B">
        <w:t>pr</w:t>
      </w:r>
      <w:r w:rsidRPr="00E06F8B">
        <w:t>e</w:t>
      </w:r>
      <w:r w:rsidRPr="00E06F8B">
        <w:t>service</w:t>
      </w:r>
      <w:r w:rsidR="000E4CF5">
        <w:t xml:space="preserve"> </w:t>
      </w:r>
      <w:r w:rsidRPr="00E06F8B">
        <w:t>science</w:t>
      </w:r>
      <w:r w:rsidR="000E4CF5">
        <w:t xml:space="preserve"> </w:t>
      </w:r>
      <w:r w:rsidRPr="00E06F8B">
        <w:t>teacher</w:t>
      </w:r>
      <w:r w:rsidR="000E4CF5">
        <w:t xml:space="preserve"> </w:t>
      </w:r>
      <w:r w:rsidRPr="00E06F8B">
        <w:t>education.</w:t>
      </w:r>
      <w:proofErr w:type="gramEnd"/>
      <w:r w:rsidR="000E4CF5">
        <w:t xml:space="preserve"> </w:t>
      </w:r>
      <w:proofErr w:type="gramStart"/>
      <w:r w:rsidRPr="00E06F8B">
        <w:rPr>
          <w:i/>
        </w:rPr>
        <w:t>Research</w:t>
      </w:r>
      <w:r w:rsidR="000E4CF5">
        <w:rPr>
          <w:i/>
        </w:rPr>
        <w:t xml:space="preserve"> </w:t>
      </w:r>
      <w:r w:rsidRPr="00E06F8B">
        <w:rPr>
          <w:i/>
        </w:rPr>
        <w:t>in</w:t>
      </w:r>
      <w:r w:rsidR="000E4CF5">
        <w:rPr>
          <w:i/>
        </w:rPr>
        <w:t xml:space="preserve"> </w:t>
      </w:r>
      <w:r w:rsidRPr="00E06F8B">
        <w:rPr>
          <w:i/>
        </w:rPr>
        <w:t>Science</w:t>
      </w:r>
      <w:r w:rsidR="000E4CF5">
        <w:rPr>
          <w:i/>
        </w:rPr>
        <w:t xml:space="preserve"> </w:t>
      </w:r>
      <w:r w:rsidRPr="00E06F8B">
        <w:rPr>
          <w:i/>
        </w:rPr>
        <w:t>Education,</w:t>
      </w:r>
      <w:r w:rsidR="000E4CF5">
        <w:rPr>
          <w:i/>
        </w:rPr>
        <w:t xml:space="preserve"> </w:t>
      </w:r>
      <w:r w:rsidRPr="00E06F8B">
        <w:rPr>
          <w:i/>
        </w:rPr>
        <w:t>42</w:t>
      </w:r>
      <w:r w:rsidR="002E4E67">
        <w:t>(6)</w:t>
      </w:r>
      <w:r w:rsidRPr="00E06F8B">
        <w:t>,</w:t>
      </w:r>
      <w:r w:rsidR="000E4CF5">
        <w:t xml:space="preserve"> </w:t>
      </w:r>
      <w:r w:rsidRPr="00E06F8B">
        <w:t>1201-1217.</w:t>
      </w:r>
      <w:proofErr w:type="gramEnd"/>
    </w:p>
    <w:p w14:paraId="33F0C6EB" w14:textId="77777777" w:rsidR="007D04A1" w:rsidRPr="00E06F8B" w:rsidRDefault="007D04A1" w:rsidP="00B90BA5">
      <w:pPr>
        <w:pStyle w:val="SEI-ReferenceList"/>
      </w:pPr>
      <w:r w:rsidRPr="00E06F8B">
        <w:t>Haney,</w:t>
      </w:r>
      <w:r w:rsidR="000E4CF5">
        <w:t xml:space="preserve"> </w:t>
      </w:r>
      <w:r w:rsidRPr="00E06F8B">
        <w:t>J.</w:t>
      </w:r>
      <w:r w:rsidR="000E4CF5">
        <w:t xml:space="preserve"> </w:t>
      </w:r>
      <w:r w:rsidRPr="00E06F8B">
        <w:t>J.,</w:t>
      </w:r>
      <w:r w:rsidR="000E4CF5">
        <w:t xml:space="preserve"> </w:t>
      </w:r>
      <w:r w:rsidRPr="00E06F8B">
        <w:t>&amp;</w:t>
      </w:r>
      <w:r w:rsidR="000E4CF5">
        <w:t xml:space="preserve"> </w:t>
      </w:r>
      <w:r w:rsidRPr="00E06F8B">
        <w:t>McArthur,</w:t>
      </w:r>
      <w:r w:rsidR="000E4CF5">
        <w:t xml:space="preserve"> </w:t>
      </w:r>
      <w:r w:rsidRPr="00E06F8B">
        <w:t>J.</w:t>
      </w:r>
      <w:r w:rsidR="000E4CF5">
        <w:t xml:space="preserve"> </w:t>
      </w:r>
      <w:r w:rsidRPr="00E06F8B">
        <w:t>(2002).</w:t>
      </w:r>
      <w:r w:rsidR="000E4CF5">
        <w:t xml:space="preserve"> </w:t>
      </w:r>
      <w:r w:rsidRPr="00E06F8B">
        <w:t>Four</w:t>
      </w:r>
      <w:r w:rsidR="000E4CF5">
        <w:t xml:space="preserve"> </w:t>
      </w:r>
      <w:r w:rsidRPr="00E06F8B">
        <w:t>case</w:t>
      </w:r>
      <w:r w:rsidR="000E4CF5">
        <w:t xml:space="preserve"> </w:t>
      </w:r>
      <w:r w:rsidRPr="00E06F8B">
        <w:t>studies</w:t>
      </w:r>
      <w:r w:rsidR="000E4CF5">
        <w:t xml:space="preserve"> </w:t>
      </w:r>
      <w:r w:rsidRPr="00E06F8B">
        <w:t>of</w:t>
      </w:r>
      <w:r w:rsidR="000E4CF5">
        <w:t xml:space="preserve"> </w:t>
      </w:r>
      <w:r w:rsidRPr="00E06F8B">
        <w:t>prospective</w:t>
      </w:r>
      <w:r w:rsidR="000E4CF5">
        <w:t xml:space="preserve"> </w:t>
      </w:r>
      <w:r w:rsidRPr="00E06F8B">
        <w:t>sc</w:t>
      </w:r>
      <w:r w:rsidRPr="00E06F8B">
        <w:t>i</w:t>
      </w:r>
      <w:r w:rsidRPr="00E06F8B">
        <w:t>ence</w:t>
      </w:r>
      <w:r w:rsidR="000E4CF5">
        <w:t xml:space="preserve"> </w:t>
      </w:r>
      <w:r w:rsidRPr="00E06F8B">
        <w:t>teachers’</w:t>
      </w:r>
      <w:r w:rsidR="000E4CF5">
        <w:t xml:space="preserve"> </w:t>
      </w:r>
      <w:r w:rsidRPr="00E06F8B">
        <w:t>beliefs</w:t>
      </w:r>
      <w:r w:rsidR="000E4CF5">
        <w:t xml:space="preserve"> </w:t>
      </w:r>
      <w:r w:rsidRPr="00E06F8B">
        <w:t>concerning</w:t>
      </w:r>
      <w:r w:rsidR="000E4CF5">
        <w:t xml:space="preserve"> </w:t>
      </w:r>
      <w:proofErr w:type="gramStart"/>
      <w:r w:rsidRPr="00E06F8B">
        <w:t>constructivist</w:t>
      </w:r>
      <w:r w:rsidR="000E4CF5">
        <w:t xml:space="preserve"> </w:t>
      </w:r>
      <w:r w:rsidRPr="00E06F8B">
        <w:t>teaching</w:t>
      </w:r>
      <w:proofErr w:type="gramEnd"/>
      <w:r w:rsidR="000E4CF5">
        <w:t xml:space="preserve"> </w:t>
      </w:r>
      <w:r w:rsidRPr="00E06F8B">
        <w:t>practices.</w:t>
      </w:r>
      <w:r w:rsidR="000E4CF5">
        <w:t xml:space="preserve"> </w:t>
      </w:r>
      <w:proofErr w:type="gramStart"/>
      <w:r w:rsidRPr="00E06F8B">
        <w:rPr>
          <w:i/>
        </w:rPr>
        <w:t>Science</w:t>
      </w:r>
      <w:r w:rsidR="000E4CF5">
        <w:rPr>
          <w:i/>
        </w:rPr>
        <w:t xml:space="preserve"> </w:t>
      </w:r>
      <w:r w:rsidRPr="00E06F8B">
        <w:rPr>
          <w:i/>
        </w:rPr>
        <w:t>Education,</w:t>
      </w:r>
      <w:r w:rsidR="000E4CF5">
        <w:rPr>
          <w:i/>
        </w:rPr>
        <w:t xml:space="preserve"> </w:t>
      </w:r>
      <w:r w:rsidRPr="00E06F8B">
        <w:rPr>
          <w:i/>
        </w:rPr>
        <w:t>86</w:t>
      </w:r>
      <w:r w:rsidR="002E4E67">
        <w:t>(6)</w:t>
      </w:r>
      <w:r w:rsidRPr="00E06F8B">
        <w:t>,</w:t>
      </w:r>
      <w:r w:rsidR="000E4CF5">
        <w:t xml:space="preserve"> </w:t>
      </w:r>
      <w:r w:rsidRPr="00E06F8B">
        <w:t>783-802.</w:t>
      </w:r>
      <w:proofErr w:type="gramEnd"/>
    </w:p>
    <w:p w14:paraId="370BF16D" w14:textId="77777777" w:rsidR="007D04A1" w:rsidRPr="00E06F8B" w:rsidRDefault="007D04A1" w:rsidP="00B90BA5">
      <w:pPr>
        <w:pStyle w:val="SEI-ReferenceList"/>
      </w:pPr>
      <w:r w:rsidRPr="00E06F8B">
        <w:t>Hong,</w:t>
      </w:r>
      <w:r w:rsidR="000E4CF5">
        <w:t xml:space="preserve"> </w:t>
      </w:r>
      <w:r w:rsidRPr="00E06F8B">
        <w:t>H</w:t>
      </w:r>
      <w:proofErr w:type="gramStart"/>
      <w:r w:rsidRPr="00E06F8B">
        <w:t>.-</w:t>
      </w:r>
      <w:proofErr w:type="gramEnd"/>
      <w:r w:rsidRPr="00E06F8B">
        <w:t>Y.,</w:t>
      </w:r>
      <w:r w:rsidR="000E4CF5">
        <w:t xml:space="preserve"> </w:t>
      </w:r>
      <w:r w:rsidRPr="00E06F8B">
        <w:t>&amp;</w:t>
      </w:r>
      <w:r w:rsidR="000E4CF5">
        <w:t xml:space="preserve"> </w:t>
      </w:r>
      <w:r w:rsidRPr="00E06F8B">
        <w:t>Lin,</w:t>
      </w:r>
      <w:r w:rsidR="000E4CF5">
        <w:t xml:space="preserve"> </w:t>
      </w:r>
      <w:r w:rsidRPr="00E06F8B">
        <w:t>S.-P.</w:t>
      </w:r>
      <w:r w:rsidR="000E4CF5">
        <w:t xml:space="preserve"> </w:t>
      </w:r>
      <w:r w:rsidRPr="00E06F8B">
        <w:t>(2010).</w:t>
      </w:r>
      <w:r w:rsidR="000E4CF5">
        <w:t xml:space="preserve"> </w:t>
      </w:r>
      <w:proofErr w:type="gramStart"/>
      <w:r w:rsidRPr="00E06F8B">
        <w:t>Teacher-education</w:t>
      </w:r>
      <w:r w:rsidR="000E4CF5">
        <w:t xml:space="preserve"> </w:t>
      </w:r>
      <w:r w:rsidRPr="00E06F8B">
        <w:t>students’</w:t>
      </w:r>
      <w:r w:rsidR="000E4CF5">
        <w:t xml:space="preserve"> </w:t>
      </w:r>
      <w:r w:rsidRPr="00E06F8B">
        <w:t>epistem</w:t>
      </w:r>
      <w:r w:rsidRPr="00E06F8B">
        <w:t>o</w:t>
      </w:r>
      <w:r w:rsidRPr="00E06F8B">
        <w:t>logical</w:t>
      </w:r>
      <w:r w:rsidR="000E4CF5">
        <w:t xml:space="preserve"> </w:t>
      </w:r>
      <w:r w:rsidRPr="00E06F8B">
        <w:t>change</w:t>
      </w:r>
      <w:r w:rsidR="000E4CF5">
        <w:t xml:space="preserve"> </w:t>
      </w:r>
      <w:r w:rsidRPr="00E06F8B">
        <w:t>through</w:t>
      </w:r>
      <w:r w:rsidR="000E4CF5">
        <w:t xml:space="preserve"> </w:t>
      </w:r>
      <w:r w:rsidRPr="00E06F8B">
        <w:t>collaborative</w:t>
      </w:r>
      <w:r w:rsidR="000E4CF5">
        <w:t xml:space="preserve"> </w:t>
      </w:r>
      <w:r w:rsidRPr="00E06F8B">
        <w:t>knowledge.</w:t>
      </w:r>
      <w:proofErr w:type="gramEnd"/>
      <w:r w:rsidR="000E4CF5">
        <w:t xml:space="preserve"> </w:t>
      </w:r>
      <w:proofErr w:type="gramStart"/>
      <w:r w:rsidRPr="00E06F8B">
        <w:rPr>
          <w:i/>
        </w:rPr>
        <w:t>The</w:t>
      </w:r>
      <w:r w:rsidR="000E4CF5">
        <w:rPr>
          <w:i/>
        </w:rPr>
        <w:t xml:space="preserve"> </w:t>
      </w:r>
      <w:r w:rsidRPr="00E06F8B">
        <w:rPr>
          <w:i/>
        </w:rPr>
        <w:t>Asia-Pacific</w:t>
      </w:r>
      <w:r w:rsidR="000E4CF5">
        <w:rPr>
          <w:i/>
        </w:rPr>
        <w:t xml:space="preserve"> </w:t>
      </w:r>
      <w:r w:rsidRPr="00E06F8B">
        <w:rPr>
          <w:i/>
        </w:rPr>
        <w:t>Education</w:t>
      </w:r>
      <w:r w:rsidR="000E4CF5">
        <w:rPr>
          <w:i/>
        </w:rPr>
        <w:t xml:space="preserve"> </w:t>
      </w:r>
      <w:r w:rsidRPr="00E06F8B">
        <w:rPr>
          <w:i/>
        </w:rPr>
        <w:t>Researcher,</w:t>
      </w:r>
      <w:r w:rsidR="000E4CF5">
        <w:rPr>
          <w:i/>
        </w:rPr>
        <w:t xml:space="preserve"> </w:t>
      </w:r>
      <w:r w:rsidRPr="00E06F8B">
        <w:rPr>
          <w:i/>
        </w:rPr>
        <w:t>19</w:t>
      </w:r>
      <w:r w:rsidR="002E4E67">
        <w:t>(1)</w:t>
      </w:r>
      <w:r w:rsidRPr="00E06F8B">
        <w:t>,</w:t>
      </w:r>
      <w:r w:rsidR="000E4CF5">
        <w:t xml:space="preserve"> </w:t>
      </w:r>
      <w:r w:rsidRPr="00E06F8B">
        <w:t>99-110.</w:t>
      </w:r>
      <w:proofErr w:type="gramEnd"/>
    </w:p>
    <w:p w14:paraId="6039A415" w14:textId="77777777" w:rsidR="007D04A1" w:rsidRPr="00E06F8B" w:rsidRDefault="007D04A1" w:rsidP="00B90BA5">
      <w:pPr>
        <w:pStyle w:val="SEI-ReferenceList"/>
      </w:pPr>
      <w:r w:rsidRPr="00E06F8B">
        <w:t>Jackson,</w:t>
      </w:r>
      <w:r w:rsidR="000E4CF5">
        <w:t xml:space="preserve"> </w:t>
      </w:r>
      <w:r w:rsidRPr="00E06F8B">
        <w:t>P.</w:t>
      </w:r>
      <w:r w:rsidR="000E4CF5">
        <w:t xml:space="preserve"> </w:t>
      </w:r>
      <w:r w:rsidRPr="00E06F8B">
        <w:t>W.</w:t>
      </w:r>
      <w:r w:rsidR="000E4CF5">
        <w:t xml:space="preserve"> </w:t>
      </w:r>
      <w:r w:rsidRPr="00E06F8B">
        <w:t>(1986).</w:t>
      </w:r>
      <w:r w:rsidR="000E4CF5">
        <w:t xml:space="preserve"> </w:t>
      </w:r>
      <w:proofErr w:type="gramStart"/>
      <w:r w:rsidRPr="00E06F8B">
        <w:rPr>
          <w:i/>
        </w:rPr>
        <w:t>The</w:t>
      </w:r>
      <w:r w:rsidR="000E4CF5">
        <w:rPr>
          <w:i/>
        </w:rPr>
        <w:t xml:space="preserve"> </w:t>
      </w:r>
      <w:r w:rsidRPr="00E06F8B">
        <w:rPr>
          <w:i/>
        </w:rPr>
        <w:t>practice</w:t>
      </w:r>
      <w:r w:rsidR="000E4CF5">
        <w:rPr>
          <w:i/>
        </w:rPr>
        <w:t xml:space="preserve"> </w:t>
      </w:r>
      <w:r w:rsidRPr="00E06F8B">
        <w:rPr>
          <w:i/>
        </w:rPr>
        <w:t>of</w:t>
      </w:r>
      <w:r w:rsidR="000E4CF5">
        <w:rPr>
          <w:i/>
        </w:rPr>
        <w:t xml:space="preserve"> </w:t>
      </w:r>
      <w:r w:rsidRPr="00E06F8B">
        <w:rPr>
          <w:i/>
        </w:rPr>
        <w:t>teaching.</w:t>
      </w:r>
      <w:proofErr w:type="gramEnd"/>
      <w:r w:rsidR="000E4CF5">
        <w:rPr>
          <w:i/>
        </w:rPr>
        <w:t xml:space="preserve"> </w:t>
      </w:r>
      <w:r w:rsidRPr="00E06F8B">
        <w:t>New</w:t>
      </w:r>
      <w:r w:rsidR="000E4CF5">
        <w:t xml:space="preserve"> </w:t>
      </w:r>
      <w:r w:rsidRPr="00E06F8B">
        <w:t>York,</w:t>
      </w:r>
      <w:r w:rsidR="000E4CF5">
        <w:t xml:space="preserve"> </w:t>
      </w:r>
      <w:r w:rsidRPr="00E06F8B">
        <w:t>NY:</w:t>
      </w:r>
      <w:r w:rsidR="000E4CF5">
        <w:t xml:space="preserve"> </w:t>
      </w:r>
      <w:r w:rsidRPr="00E06F8B">
        <w:t>Teachers</w:t>
      </w:r>
      <w:r w:rsidR="000E4CF5">
        <w:t xml:space="preserve"> </w:t>
      </w:r>
      <w:r w:rsidRPr="00E06F8B">
        <w:t>College</w:t>
      </w:r>
      <w:r w:rsidR="000E4CF5">
        <w:t xml:space="preserve"> </w:t>
      </w:r>
      <w:r w:rsidRPr="00E06F8B">
        <w:t>Press.</w:t>
      </w:r>
    </w:p>
    <w:p w14:paraId="1E58B065" w14:textId="77777777" w:rsidR="007D04A1" w:rsidRPr="00E06F8B" w:rsidRDefault="007D04A1" w:rsidP="00B90BA5">
      <w:pPr>
        <w:pStyle w:val="SEI-ReferenceList"/>
      </w:pPr>
      <w:proofErr w:type="spellStart"/>
      <w:proofErr w:type="gramStart"/>
      <w:r w:rsidRPr="00E06F8B">
        <w:t>Kagan</w:t>
      </w:r>
      <w:proofErr w:type="spellEnd"/>
      <w:r w:rsidRPr="00E06F8B">
        <w:t>,</w:t>
      </w:r>
      <w:r w:rsidR="000E4CF5">
        <w:t xml:space="preserve"> </w:t>
      </w:r>
      <w:r w:rsidRPr="00E06F8B">
        <w:t>D.</w:t>
      </w:r>
      <w:r w:rsidR="000E4CF5">
        <w:t xml:space="preserve"> </w:t>
      </w:r>
      <w:r w:rsidRPr="00E06F8B">
        <w:t>M.</w:t>
      </w:r>
      <w:r w:rsidR="000E4CF5">
        <w:t xml:space="preserve"> </w:t>
      </w:r>
      <w:r w:rsidRPr="00E06F8B">
        <w:t>(1992).</w:t>
      </w:r>
      <w:proofErr w:type="gramEnd"/>
      <w:r w:rsidR="000E4CF5">
        <w:t xml:space="preserve"> </w:t>
      </w:r>
      <w:proofErr w:type="gramStart"/>
      <w:r w:rsidRPr="00E06F8B">
        <w:t>Implications</w:t>
      </w:r>
      <w:r w:rsidR="000E4CF5">
        <w:t xml:space="preserve"> </w:t>
      </w:r>
      <w:r w:rsidRPr="00E06F8B">
        <w:t>of</w:t>
      </w:r>
      <w:r w:rsidR="000E4CF5">
        <w:t xml:space="preserve"> </w:t>
      </w:r>
      <w:r w:rsidRPr="00E06F8B">
        <w:t>research</w:t>
      </w:r>
      <w:r w:rsidR="000E4CF5">
        <w:t xml:space="preserve"> </w:t>
      </w:r>
      <w:r w:rsidRPr="00E06F8B">
        <w:t>on</w:t>
      </w:r>
      <w:r w:rsidR="000E4CF5">
        <w:t xml:space="preserve"> </w:t>
      </w:r>
      <w:r w:rsidRPr="00E06F8B">
        <w:t>teacher</w:t>
      </w:r>
      <w:r w:rsidR="000E4CF5">
        <w:t xml:space="preserve"> </w:t>
      </w:r>
      <w:r w:rsidRPr="00E06F8B">
        <w:t>belief.</w:t>
      </w:r>
      <w:proofErr w:type="gramEnd"/>
      <w:r w:rsidR="000E4CF5">
        <w:t xml:space="preserve"> </w:t>
      </w:r>
      <w:r w:rsidRPr="00E06F8B">
        <w:rPr>
          <w:i/>
        </w:rPr>
        <w:t>Educ</w:t>
      </w:r>
      <w:r w:rsidRPr="00E06F8B">
        <w:rPr>
          <w:i/>
        </w:rPr>
        <w:t>a</w:t>
      </w:r>
      <w:r w:rsidRPr="00E06F8B">
        <w:rPr>
          <w:i/>
        </w:rPr>
        <w:t>tional</w:t>
      </w:r>
      <w:r w:rsidR="000E4CF5">
        <w:rPr>
          <w:i/>
        </w:rPr>
        <w:t xml:space="preserve"> </w:t>
      </w:r>
      <w:r w:rsidRPr="00E06F8B">
        <w:rPr>
          <w:i/>
        </w:rPr>
        <w:t>Psychologist</w:t>
      </w:r>
      <w:r w:rsidRPr="00E06F8B">
        <w:t>,</w:t>
      </w:r>
      <w:r w:rsidR="000E4CF5">
        <w:t xml:space="preserve"> </w:t>
      </w:r>
      <w:r w:rsidRPr="00E06F8B">
        <w:t>27(1),</w:t>
      </w:r>
      <w:r w:rsidR="000E4CF5">
        <w:t xml:space="preserve"> </w:t>
      </w:r>
      <w:r w:rsidRPr="00E06F8B">
        <w:t>65–90.</w:t>
      </w:r>
    </w:p>
    <w:p w14:paraId="4B73C258" w14:textId="77777777" w:rsidR="007D04A1" w:rsidRPr="00E06F8B" w:rsidRDefault="007D04A1" w:rsidP="00B90BA5">
      <w:pPr>
        <w:pStyle w:val="SEI-ReferenceList"/>
      </w:pPr>
      <w:proofErr w:type="spellStart"/>
      <w:proofErr w:type="gramStart"/>
      <w:r w:rsidRPr="00E06F8B">
        <w:t>Kember</w:t>
      </w:r>
      <w:proofErr w:type="spellEnd"/>
      <w:r w:rsidRPr="00E06F8B">
        <w:t>,</w:t>
      </w:r>
      <w:r w:rsidR="000E4CF5">
        <w:t xml:space="preserve"> </w:t>
      </w:r>
      <w:r w:rsidRPr="00E06F8B">
        <w:t>D.</w:t>
      </w:r>
      <w:r w:rsidR="000E4CF5">
        <w:t xml:space="preserve"> </w:t>
      </w:r>
      <w:r w:rsidRPr="00E06F8B">
        <w:t>(1997)</w:t>
      </w:r>
      <w:r w:rsidR="000E4CF5">
        <w:t xml:space="preserve"> </w:t>
      </w:r>
      <w:r w:rsidRPr="00E06F8B">
        <w:t>A</w:t>
      </w:r>
      <w:r w:rsidR="000E4CF5">
        <w:t xml:space="preserve"> </w:t>
      </w:r>
      <w:proofErr w:type="spellStart"/>
      <w:r w:rsidRPr="00E06F8B">
        <w:t>reconceptualisation</w:t>
      </w:r>
      <w:proofErr w:type="spellEnd"/>
      <w:r w:rsidR="000E4CF5">
        <w:t xml:space="preserve"> </w:t>
      </w:r>
      <w:r w:rsidRPr="00E06F8B">
        <w:t>of</w:t>
      </w:r>
      <w:r w:rsidR="000E4CF5">
        <w:t xml:space="preserve"> </w:t>
      </w:r>
      <w:r w:rsidRPr="00E06F8B">
        <w:t>the</w:t>
      </w:r>
      <w:r w:rsidR="000E4CF5">
        <w:t xml:space="preserve"> </w:t>
      </w:r>
      <w:r w:rsidRPr="00E06F8B">
        <w:t>research</w:t>
      </w:r>
      <w:r w:rsidR="000E4CF5">
        <w:t xml:space="preserve"> </w:t>
      </w:r>
      <w:r w:rsidRPr="00E06F8B">
        <w:t>into</w:t>
      </w:r>
      <w:r w:rsidR="000E4CF5">
        <w:t xml:space="preserve"> </w:t>
      </w:r>
      <w:r w:rsidRPr="00E06F8B">
        <w:t>university</w:t>
      </w:r>
      <w:r w:rsidR="000E4CF5">
        <w:t xml:space="preserve"> </w:t>
      </w:r>
      <w:r w:rsidRPr="00E06F8B">
        <w:t>academics’</w:t>
      </w:r>
      <w:r w:rsidR="000E4CF5">
        <w:t xml:space="preserve"> </w:t>
      </w:r>
      <w:r w:rsidRPr="00E06F8B">
        <w:t>conceptions</w:t>
      </w:r>
      <w:r w:rsidR="000E4CF5">
        <w:t xml:space="preserve"> </w:t>
      </w:r>
      <w:r w:rsidRPr="00E06F8B">
        <w:t>of</w:t>
      </w:r>
      <w:r w:rsidR="000E4CF5">
        <w:t xml:space="preserve"> </w:t>
      </w:r>
      <w:r w:rsidRPr="00E06F8B">
        <w:t>teaching.</w:t>
      </w:r>
      <w:proofErr w:type="gramEnd"/>
      <w:r w:rsidR="000E4CF5">
        <w:t xml:space="preserve"> </w:t>
      </w:r>
      <w:r w:rsidRPr="00E06F8B">
        <w:rPr>
          <w:i/>
        </w:rPr>
        <w:t>Learning</w:t>
      </w:r>
      <w:r w:rsidR="000E4CF5">
        <w:rPr>
          <w:i/>
        </w:rPr>
        <w:t xml:space="preserve"> </w:t>
      </w:r>
      <w:r w:rsidRPr="00E06F8B">
        <w:rPr>
          <w:i/>
        </w:rPr>
        <w:t>and</w:t>
      </w:r>
      <w:r w:rsidR="000E4CF5">
        <w:rPr>
          <w:i/>
        </w:rPr>
        <w:t xml:space="preserve"> </w:t>
      </w:r>
      <w:r w:rsidRPr="00E06F8B">
        <w:rPr>
          <w:i/>
        </w:rPr>
        <w:t>Instruction,</w:t>
      </w:r>
      <w:r w:rsidR="000E4CF5">
        <w:rPr>
          <w:i/>
        </w:rPr>
        <w:t xml:space="preserve"> </w:t>
      </w:r>
      <w:r w:rsidRPr="00E06F8B">
        <w:rPr>
          <w:i/>
        </w:rPr>
        <w:t>7</w:t>
      </w:r>
      <w:r w:rsidR="002E4E67">
        <w:t>(3)</w:t>
      </w:r>
      <w:r w:rsidRPr="00E06F8B">
        <w:t>,</w:t>
      </w:r>
      <w:r w:rsidR="000E4CF5">
        <w:t xml:space="preserve"> </w:t>
      </w:r>
      <w:r w:rsidRPr="00E06F8B">
        <w:t>255–275.</w:t>
      </w:r>
    </w:p>
    <w:p w14:paraId="32F397E4" w14:textId="77777777" w:rsidR="007D04A1" w:rsidRPr="00E06F8B" w:rsidRDefault="007D04A1" w:rsidP="00B90BA5">
      <w:pPr>
        <w:pStyle w:val="SEI-ReferenceList"/>
      </w:pPr>
      <w:r w:rsidRPr="00E06F8B">
        <w:t>Larkin,</w:t>
      </w:r>
      <w:r w:rsidR="000E4CF5">
        <w:t xml:space="preserve"> </w:t>
      </w:r>
      <w:r w:rsidRPr="00E06F8B">
        <w:t>J.</w:t>
      </w:r>
      <w:r w:rsidR="000E4CF5">
        <w:t xml:space="preserve"> </w:t>
      </w:r>
      <w:r w:rsidRPr="00E06F8B">
        <w:t>H.</w:t>
      </w:r>
      <w:r w:rsidR="000E4CF5">
        <w:t xml:space="preserve"> </w:t>
      </w:r>
      <w:r w:rsidRPr="00E06F8B">
        <w:t>(2000).</w:t>
      </w:r>
      <w:r w:rsidR="000E4CF5">
        <w:t xml:space="preserve"> </w:t>
      </w:r>
      <w:r w:rsidRPr="00E06F8B">
        <w:t>Restructuring</w:t>
      </w:r>
      <w:r w:rsidR="000E4CF5">
        <w:t xml:space="preserve"> </w:t>
      </w:r>
      <w:r w:rsidRPr="00E06F8B">
        <w:t>science</w:t>
      </w:r>
      <w:r w:rsidR="000E4CF5">
        <w:t xml:space="preserve"> </w:t>
      </w:r>
      <w:r w:rsidRPr="00E06F8B">
        <w:t>and</w:t>
      </w:r>
      <w:r w:rsidR="000E4CF5">
        <w:t xml:space="preserve"> </w:t>
      </w:r>
      <w:r w:rsidRPr="00E06F8B">
        <w:t>mathematics</w:t>
      </w:r>
      <w:r w:rsidR="000E4CF5">
        <w:t xml:space="preserve"> </w:t>
      </w:r>
      <w:r w:rsidRPr="00E06F8B">
        <w:t>education.</w:t>
      </w:r>
      <w:r w:rsidR="000E4CF5">
        <w:t xml:space="preserve"> </w:t>
      </w:r>
      <w:r w:rsidRPr="00E06F8B">
        <w:rPr>
          <w:i/>
          <w:iCs/>
        </w:rPr>
        <w:t>Journal</w:t>
      </w:r>
      <w:r w:rsidR="000E4CF5">
        <w:rPr>
          <w:i/>
          <w:iCs/>
        </w:rPr>
        <w:t xml:space="preserve"> </w:t>
      </w:r>
      <w:r w:rsidRPr="00E06F8B">
        <w:rPr>
          <w:i/>
          <w:iCs/>
        </w:rPr>
        <w:t>of</w:t>
      </w:r>
      <w:r w:rsidR="000E4CF5">
        <w:rPr>
          <w:i/>
          <w:iCs/>
        </w:rPr>
        <w:t xml:space="preserve"> </w:t>
      </w:r>
      <w:r w:rsidRPr="00E06F8B">
        <w:rPr>
          <w:i/>
          <w:iCs/>
        </w:rPr>
        <w:t>Applied</w:t>
      </w:r>
      <w:r w:rsidR="000E4CF5">
        <w:rPr>
          <w:i/>
          <w:iCs/>
        </w:rPr>
        <w:t xml:space="preserve"> </w:t>
      </w:r>
      <w:r w:rsidRPr="00E06F8B">
        <w:rPr>
          <w:i/>
          <w:iCs/>
        </w:rPr>
        <w:t>Developmental</w:t>
      </w:r>
      <w:r w:rsidR="000E4CF5">
        <w:rPr>
          <w:i/>
          <w:iCs/>
        </w:rPr>
        <w:t xml:space="preserve"> </w:t>
      </w:r>
      <w:r w:rsidRPr="00E06F8B">
        <w:rPr>
          <w:i/>
          <w:iCs/>
        </w:rPr>
        <w:t>Psychology,</w:t>
      </w:r>
      <w:r w:rsidR="000E4CF5">
        <w:rPr>
          <w:i/>
          <w:iCs/>
        </w:rPr>
        <w:t xml:space="preserve"> </w:t>
      </w:r>
      <w:r w:rsidRPr="00E06F8B">
        <w:rPr>
          <w:i/>
          <w:iCs/>
        </w:rPr>
        <w:t>21</w:t>
      </w:r>
      <w:r w:rsidRPr="00E06F8B">
        <w:t>(1),</w:t>
      </w:r>
      <w:r w:rsidR="000E4CF5">
        <w:t xml:space="preserve"> </w:t>
      </w:r>
      <w:r w:rsidRPr="00E06F8B">
        <w:t>109</w:t>
      </w:r>
      <w:r w:rsidR="000E4CF5">
        <w:t xml:space="preserve"> </w:t>
      </w:r>
      <w:r w:rsidRPr="00E06F8B">
        <w:t>-</w:t>
      </w:r>
      <w:r w:rsidR="000E4CF5">
        <w:t xml:space="preserve"> </w:t>
      </w:r>
      <w:r w:rsidRPr="00E06F8B">
        <w:t>114.</w:t>
      </w:r>
    </w:p>
    <w:p w14:paraId="4616CB36" w14:textId="77777777" w:rsidR="007D04A1" w:rsidRPr="00E06F8B" w:rsidRDefault="007D04A1" w:rsidP="00B90BA5">
      <w:pPr>
        <w:pStyle w:val="SEI-ReferenceList"/>
      </w:pPr>
      <w:proofErr w:type="spellStart"/>
      <w:proofErr w:type="gramStart"/>
      <w:r w:rsidRPr="00E06F8B">
        <w:t>Lindenman</w:t>
      </w:r>
      <w:proofErr w:type="spellEnd"/>
      <w:r w:rsidRPr="00E06F8B">
        <w:t>,</w:t>
      </w:r>
      <w:r w:rsidR="000E4CF5">
        <w:t xml:space="preserve"> </w:t>
      </w:r>
      <w:r w:rsidRPr="00E06F8B">
        <w:t>M.,</w:t>
      </w:r>
      <w:r w:rsidR="000E4CF5">
        <w:t xml:space="preserve"> </w:t>
      </w:r>
      <w:proofErr w:type="spellStart"/>
      <w:r w:rsidRPr="00E06F8B">
        <w:t>Svedholm</w:t>
      </w:r>
      <w:proofErr w:type="spellEnd"/>
      <w:r w:rsidRPr="00E06F8B">
        <w:t>,</w:t>
      </w:r>
      <w:r w:rsidR="000E4CF5">
        <w:t xml:space="preserve"> </w:t>
      </w:r>
      <w:r w:rsidRPr="00E06F8B">
        <w:t>A.</w:t>
      </w:r>
      <w:r w:rsidR="000E4CF5">
        <w:t xml:space="preserve"> </w:t>
      </w:r>
      <w:r w:rsidRPr="00E06F8B">
        <w:t>M.,</w:t>
      </w:r>
      <w:r w:rsidR="000E4CF5">
        <w:t xml:space="preserve"> </w:t>
      </w:r>
      <w:r w:rsidRPr="00E06F8B">
        <w:t>Takada,</w:t>
      </w:r>
      <w:r w:rsidR="000E4CF5">
        <w:t xml:space="preserve"> </w:t>
      </w:r>
      <w:r w:rsidRPr="00E06F8B">
        <w:t>M.,</w:t>
      </w:r>
      <w:r w:rsidR="000E4CF5">
        <w:t xml:space="preserve"> </w:t>
      </w:r>
      <w:proofErr w:type="spellStart"/>
      <w:r w:rsidRPr="00E06F8B">
        <w:t>Lonnqvist</w:t>
      </w:r>
      <w:proofErr w:type="spellEnd"/>
      <w:r w:rsidRPr="00E06F8B">
        <w:t>,</w:t>
      </w:r>
      <w:r w:rsidR="000E4CF5">
        <w:t xml:space="preserve"> </w:t>
      </w:r>
      <w:r w:rsidRPr="00E06F8B">
        <w:t>J.,</w:t>
      </w:r>
      <w:r w:rsidR="000E4CF5">
        <w:t xml:space="preserve"> </w:t>
      </w:r>
      <w:r w:rsidRPr="00E06F8B">
        <w:t>&amp;</w:t>
      </w:r>
      <w:r w:rsidR="000E4CF5">
        <w:t xml:space="preserve"> </w:t>
      </w:r>
      <w:proofErr w:type="spellStart"/>
      <w:r w:rsidRPr="00E06F8B">
        <w:t>Verkas</w:t>
      </w:r>
      <w:r w:rsidRPr="00E06F8B">
        <w:t>a</w:t>
      </w:r>
      <w:r w:rsidRPr="00E06F8B">
        <w:t>lo</w:t>
      </w:r>
      <w:proofErr w:type="spellEnd"/>
      <w:r w:rsidRPr="00E06F8B">
        <w:t>,</w:t>
      </w:r>
      <w:r w:rsidR="000E4CF5">
        <w:t xml:space="preserve"> </w:t>
      </w:r>
      <w:r w:rsidRPr="00E06F8B">
        <w:t>M.</w:t>
      </w:r>
      <w:r w:rsidR="000E4CF5">
        <w:t xml:space="preserve"> </w:t>
      </w:r>
      <w:r w:rsidRPr="00E06F8B">
        <w:t>(2011).</w:t>
      </w:r>
      <w:proofErr w:type="gramEnd"/>
      <w:r w:rsidR="000E4CF5">
        <w:t xml:space="preserve"> </w:t>
      </w:r>
      <w:proofErr w:type="gramStart"/>
      <w:r w:rsidRPr="00E06F8B">
        <w:t>Core</w:t>
      </w:r>
      <w:r w:rsidR="000E4CF5">
        <w:t xml:space="preserve"> </w:t>
      </w:r>
      <w:r w:rsidRPr="00E06F8B">
        <w:t>knowledge</w:t>
      </w:r>
      <w:r w:rsidR="000E4CF5">
        <w:t xml:space="preserve"> </w:t>
      </w:r>
      <w:r w:rsidRPr="00E06F8B">
        <w:t>confusions</w:t>
      </w:r>
      <w:r w:rsidR="000E4CF5">
        <w:t xml:space="preserve"> </w:t>
      </w:r>
      <w:r w:rsidRPr="00E06F8B">
        <w:t>among</w:t>
      </w:r>
      <w:r w:rsidR="000E4CF5">
        <w:t xml:space="preserve"> </w:t>
      </w:r>
      <w:r w:rsidRPr="00E06F8B">
        <w:t>university</w:t>
      </w:r>
      <w:r w:rsidR="000E4CF5">
        <w:t xml:space="preserve"> </w:t>
      </w:r>
      <w:r w:rsidRPr="00E06F8B">
        <w:t>st</w:t>
      </w:r>
      <w:r w:rsidRPr="00E06F8B">
        <w:t>u</w:t>
      </w:r>
      <w:r w:rsidRPr="00E06F8B">
        <w:t>dents.</w:t>
      </w:r>
      <w:proofErr w:type="gramEnd"/>
      <w:r w:rsidR="000E4CF5">
        <w:t xml:space="preserve"> </w:t>
      </w:r>
      <w:proofErr w:type="gramStart"/>
      <w:r w:rsidRPr="00E06F8B">
        <w:rPr>
          <w:i/>
        </w:rPr>
        <w:t>Science</w:t>
      </w:r>
      <w:r w:rsidR="000E4CF5">
        <w:rPr>
          <w:i/>
        </w:rPr>
        <w:t xml:space="preserve"> </w:t>
      </w:r>
      <w:r w:rsidRPr="00E06F8B">
        <w:rPr>
          <w:i/>
        </w:rPr>
        <w:t>&amp;</w:t>
      </w:r>
      <w:r w:rsidR="000E4CF5">
        <w:rPr>
          <w:i/>
        </w:rPr>
        <w:t xml:space="preserve"> </w:t>
      </w:r>
      <w:r w:rsidRPr="00E06F8B">
        <w:rPr>
          <w:i/>
        </w:rPr>
        <w:t>Education,</w:t>
      </w:r>
      <w:r w:rsidR="000E4CF5">
        <w:rPr>
          <w:i/>
        </w:rPr>
        <w:t xml:space="preserve"> </w:t>
      </w:r>
      <w:r w:rsidRPr="00E06F8B">
        <w:rPr>
          <w:i/>
        </w:rPr>
        <w:t>20</w:t>
      </w:r>
      <w:r w:rsidR="002E4E67">
        <w:t>(5-6)</w:t>
      </w:r>
      <w:r w:rsidRPr="00E06F8B">
        <w:t>,</w:t>
      </w:r>
      <w:r w:rsidR="000E4CF5">
        <w:t xml:space="preserve"> </w:t>
      </w:r>
      <w:r w:rsidRPr="00E06F8B">
        <w:t>439-451.</w:t>
      </w:r>
      <w:proofErr w:type="gramEnd"/>
    </w:p>
    <w:p w14:paraId="737EB819" w14:textId="77777777" w:rsidR="007D04A1" w:rsidRPr="00E06F8B" w:rsidRDefault="000E4CF5" w:rsidP="00B90BA5">
      <w:pPr>
        <w:pStyle w:val="SEI-ReferenceList"/>
      </w:pPr>
      <w:r>
        <w:t xml:space="preserve"> </w:t>
      </w:r>
      <w:proofErr w:type="spellStart"/>
      <w:proofErr w:type="gramStart"/>
      <w:r w:rsidR="007D04A1" w:rsidRPr="00E06F8B">
        <w:t>Loewenberg</w:t>
      </w:r>
      <w:proofErr w:type="spellEnd"/>
      <w:r>
        <w:t xml:space="preserve"> </w:t>
      </w:r>
      <w:r w:rsidR="007D04A1" w:rsidRPr="00E06F8B">
        <w:t>Ball,</w:t>
      </w:r>
      <w:r>
        <w:t xml:space="preserve"> </w:t>
      </w:r>
      <w:r w:rsidR="007D04A1" w:rsidRPr="00E06F8B">
        <w:t>D.,</w:t>
      </w:r>
      <w:r>
        <w:t xml:space="preserve"> </w:t>
      </w:r>
      <w:r w:rsidR="007D04A1" w:rsidRPr="00E06F8B">
        <w:t>Thames,</w:t>
      </w:r>
      <w:r>
        <w:t xml:space="preserve"> </w:t>
      </w:r>
      <w:r w:rsidR="007D04A1" w:rsidRPr="00E06F8B">
        <w:t>M.</w:t>
      </w:r>
      <w:r>
        <w:t xml:space="preserve"> </w:t>
      </w:r>
      <w:r w:rsidR="007D04A1" w:rsidRPr="00E06F8B">
        <w:t>H,</w:t>
      </w:r>
      <w:r>
        <w:t xml:space="preserve"> </w:t>
      </w:r>
      <w:r w:rsidR="007D04A1" w:rsidRPr="00E06F8B">
        <w:t>&amp;</w:t>
      </w:r>
      <w:r>
        <w:t xml:space="preserve"> </w:t>
      </w:r>
      <w:r w:rsidR="007D04A1" w:rsidRPr="00E06F8B">
        <w:t>Phelps,</w:t>
      </w:r>
      <w:r>
        <w:t xml:space="preserve"> </w:t>
      </w:r>
      <w:r w:rsidR="007D04A1" w:rsidRPr="00E06F8B">
        <w:t>G.</w:t>
      </w:r>
      <w:r>
        <w:t xml:space="preserve"> </w:t>
      </w:r>
      <w:r w:rsidR="007D04A1" w:rsidRPr="00E06F8B">
        <w:t>(2008).</w:t>
      </w:r>
      <w:proofErr w:type="gramEnd"/>
      <w:r>
        <w:t xml:space="preserve"> </w:t>
      </w:r>
      <w:r w:rsidR="007D04A1" w:rsidRPr="00E06F8B">
        <w:t>Content</w:t>
      </w:r>
      <w:r>
        <w:t xml:space="preserve"> </w:t>
      </w:r>
      <w:r w:rsidR="007D04A1" w:rsidRPr="00E06F8B">
        <w:t>knowledge</w:t>
      </w:r>
      <w:r>
        <w:t xml:space="preserve"> </w:t>
      </w:r>
      <w:r w:rsidR="007D04A1" w:rsidRPr="00E06F8B">
        <w:t>for</w:t>
      </w:r>
      <w:r>
        <w:t xml:space="preserve"> </w:t>
      </w:r>
      <w:r w:rsidR="007D04A1" w:rsidRPr="00E06F8B">
        <w:t>teaching:</w:t>
      </w:r>
      <w:r>
        <w:t xml:space="preserve"> </w:t>
      </w:r>
      <w:r w:rsidR="007D04A1" w:rsidRPr="00E06F8B">
        <w:t>What</w:t>
      </w:r>
      <w:r>
        <w:t xml:space="preserve"> </w:t>
      </w:r>
      <w:r w:rsidR="007D04A1" w:rsidRPr="00E06F8B">
        <w:t>makes</w:t>
      </w:r>
      <w:r>
        <w:t xml:space="preserve"> </w:t>
      </w:r>
      <w:r w:rsidR="007D04A1" w:rsidRPr="00E06F8B">
        <w:t>it</w:t>
      </w:r>
      <w:r>
        <w:t xml:space="preserve"> </w:t>
      </w:r>
      <w:r w:rsidR="007D04A1" w:rsidRPr="00E06F8B">
        <w:t>special?</w:t>
      </w:r>
      <w:r>
        <w:t xml:space="preserve"> </w:t>
      </w:r>
      <w:proofErr w:type="gramStart"/>
      <w:r w:rsidR="007D04A1" w:rsidRPr="00E06F8B">
        <w:rPr>
          <w:i/>
        </w:rPr>
        <w:t>Journal</w:t>
      </w:r>
      <w:r>
        <w:rPr>
          <w:i/>
        </w:rPr>
        <w:t xml:space="preserve"> </w:t>
      </w:r>
      <w:r w:rsidR="007D04A1" w:rsidRPr="00E06F8B">
        <w:rPr>
          <w:i/>
        </w:rPr>
        <w:t>of</w:t>
      </w:r>
      <w:r>
        <w:rPr>
          <w:i/>
        </w:rPr>
        <w:t xml:space="preserve"> </w:t>
      </w:r>
      <w:r w:rsidR="007D04A1" w:rsidRPr="00E06F8B">
        <w:rPr>
          <w:i/>
        </w:rPr>
        <w:t>Teacher</w:t>
      </w:r>
      <w:r>
        <w:rPr>
          <w:i/>
        </w:rPr>
        <w:t xml:space="preserve"> </w:t>
      </w:r>
      <w:r w:rsidR="007D04A1" w:rsidRPr="00E06F8B">
        <w:rPr>
          <w:i/>
        </w:rPr>
        <w:t>Education,</w:t>
      </w:r>
      <w:r>
        <w:rPr>
          <w:i/>
        </w:rPr>
        <w:t xml:space="preserve"> </w:t>
      </w:r>
      <w:r w:rsidR="007D04A1" w:rsidRPr="00E06F8B">
        <w:rPr>
          <w:i/>
        </w:rPr>
        <w:t>59</w:t>
      </w:r>
      <w:r w:rsidR="000D0219">
        <w:t>(5)</w:t>
      </w:r>
      <w:r w:rsidR="007D04A1" w:rsidRPr="00E06F8B">
        <w:t>,</w:t>
      </w:r>
      <w:r>
        <w:t xml:space="preserve"> </w:t>
      </w:r>
      <w:r w:rsidR="007D04A1" w:rsidRPr="00E06F8B">
        <w:t>389-407.</w:t>
      </w:r>
      <w:proofErr w:type="gramEnd"/>
    </w:p>
    <w:p w14:paraId="5F697CFC" w14:textId="77777777" w:rsidR="007D04A1" w:rsidRPr="00E06F8B" w:rsidRDefault="007D04A1" w:rsidP="00B90BA5">
      <w:pPr>
        <w:pStyle w:val="SEI-ReferenceList"/>
      </w:pPr>
      <w:proofErr w:type="spellStart"/>
      <w:r w:rsidRPr="00E06F8B">
        <w:t>Loughran</w:t>
      </w:r>
      <w:proofErr w:type="spellEnd"/>
      <w:r w:rsidRPr="00E06F8B">
        <w:t>,</w:t>
      </w:r>
      <w:r w:rsidR="000E4CF5">
        <w:t xml:space="preserve"> </w:t>
      </w:r>
      <w:r w:rsidRPr="00E06F8B">
        <w:t>J.,</w:t>
      </w:r>
      <w:r w:rsidR="000E4CF5">
        <w:t xml:space="preserve"> </w:t>
      </w:r>
      <w:proofErr w:type="spellStart"/>
      <w:r w:rsidRPr="00E06F8B">
        <w:t>Mulhall</w:t>
      </w:r>
      <w:proofErr w:type="spellEnd"/>
      <w:r w:rsidRPr="00E06F8B">
        <w:t>,</w:t>
      </w:r>
      <w:r w:rsidR="000E4CF5">
        <w:t xml:space="preserve"> </w:t>
      </w:r>
      <w:r w:rsidRPr="00E06F8B">
        <w:t>P.,</w:t>
      </w:r>
      <w:r w:rsidR="000E4CF5">
        <w:t xml:space="preserve"> </w:t>
      </w:r>
      <w:r w:rsidRPr="00E06F8B">
        <w:t>&amp;</w:t>
      </w:r>
      <w:r w:rsidR="000E4CF5">
        <w:t xml:space="preserve"> </w:t>
      </w:r>
      <w:r w:rsidRPr="00E06F8B">
        <w:t>Berry,</w:t>
      </w:r>
      <w:r w:rsidR="000E4CF5">
        <w:t xml:space="preserve"> </w:t>
      </w:r>
      <w:r w:rsidRPr="00E06F8B">
        <w:t>A.</w:t>
      </w:r>
      <w:r w:rsidR="000E4CF5">
        <w:t xml:space="preserve"> </w:t>
      </w:r>
      <w:r w:rsidRPr="00E06F8B">
        <w:t>(2004).</w:t>
      </w:r>
      <w:r w:rsidR="000E4CF5">
        <w:t xml:space="preserve"> </w:t>
      </w:r>
      <w:r w:rsidRPr="00E06F8B">
        <w:t>In</w:t>
      </w:r>
      <w:r w:rsidR="000E4CF5">
        <w:t xml:space="preserve"> </w:t>
      </w:r>
      <w:r w:rsidRPr="00E06F8B">
        <w:t>search</w:t>
      </w:r>
      <w:r w:rsidR="000E4CF5">
        <w:t xml:space="preserve"> </w:t>
      </w:r>
      <w:r w:rsidRPr="00E06F8B">
        <w:t>of</w:t>
      </w:r>
      <w:r w:rsidR="000E4CF5">
        <w:t xml:space="preserve"> </w:t>
      </w:r>
      <w:r w:rsidRPr="00E06F8B">
        <w:t>pedagogical</w:t>
      </w:r>
      <w:r w:rsidR="000E4CF5">
        <w:t xml:space="preserve"> </w:t>
      </w:r>
      <w:r w:rsidRPr="00E06F8B">
        <w:t>content</w:t>
      </w:r>
      <w:r w:rsidR="000E4CF5">
        <w:t xml:space="preserve"> </w:t>
      </w:r>
      <w:r w:rsidRPr="00E06F8B">
        <w:t>knowledge</w:t>
      </w:r>
      <w:r w:rsidR="000E4CF5">
        <w:t xml:space="preserve"> </w:t>
      </w:r>
      <w:r w:rsidRPr="00E06F8B">
        <w:t>in</w:t>
      </w:r>
      <w:r w:rsidR="000E4CF5">
        <w:t xml:space="preserve"> </w:t>
      </w:r>
      <w:r w:rsidRPr="00E06F8B">
        <w:t>science:</w:t>
      </w:r>
      <w:r w:rsidR="000E4CF5">
        <w:t xml:space="preserve"> </w:t>
      </w:r>
      <w:r w:rsidRPr="00E06F8B">
        <w:t>Developing</w:t>
      </w:r>
      <w:r w:rsidR="000E4CF5">
        <w:t xml:space="preserve"> </w:t>
      </w:r>
      <w:r w:rsidRPr="00E06F8B">
        <w:t>ways</w:t>
      </w:r>
      <w:r w:rsidR="000E4CF5">
        <w:t xml:space="preserve"> </w:t>
      </w:r>
      <w:r w:rsidRPr="00E06F8B">
        <w:t>of</w:t>
      </w:r>
      <w:r w:rsidR="000E4CF5">
        <w:t xml:space="preserve"> </w:t>
      </w:r>
      <w:r w:rsidRPr="00E06F8B">
        <w:t>articulating</w:t>
      </w:r>
      <w:r w:rsidR="000E4CF5">
        <w:t xml:space="preserve"> </w:t>
      </w:r>
      <w:r w:rsidRPr="00E06F8B">
        <w:t>and</w:t>
      </w:r>
      <w:r w:rsidR="000E4CF5">
        <w:t xml:space="preserve"> </w:t>
      </w:r>
      <w:r w:rsidRPr="00E06F8B">
        <w:t>documenting</w:t>
      </w:r>
      <w:r w:rsidR="000E4CF5">
        <w:t xml:space="preserve"> </w:t>
      </w:r>
      <w:r w:rsidRPr="00E06F8B">
        <w:t>professional</w:t>
      </w:r>
      <w:r w:rsidR="000E4CF5">
        <w:t xml:space="preserve"> </w:t>
      </w:r>
      <w:r w:rsidRPr="00E06F8B">
        <w:t>practice.</w:t>
      </w:r>
      <w:r w:rsidR="000E4CF5">
        <w:t xml:space="preserve"> </w:t>
      </w:r>
      <w:proofErr w:type="gramStart"/>
      <w:r w:rsidRPr="00E06F8B">
        <w:rPr>
          <w:i/>
        </w:rPr>
        <w:t>Journal</w:t>
      </w:r>
      <w:r w:rsidR="000E4CF5">
        <w:rPr>
          <w:i/>
        </w:rPr>
        <w:t xml:space="preserve"> </w:t>
      </w:r>
      <w:r w:rsidRPr="00E06F8B">
        <w:rPr>
          <w:i/>
        </w:rPr>
        <w:t>of</w:t>
      </w:r>
      <w:r w:rsidR="000E4CF5">
        <w:rPr>
          <w:i/>
        </w:rPr>
        <w:t xml:space="preserve"> </w:t>
      </w:r>
      <w:r w:rsidRPr="00E06F8B">
        <w:rPr>
          <w:i/>
        </w:rPr>
        <w:t>Research</w:t>
      </w:r>
      <w:r w:rsidR="000E4CF5">
        <w:rPr>
          <w:i/>
        </w:rPr>
        <w:t xml:space="preserve"> </w:t>
      </w:r>
      <w:r w:rsidRPr="00E06F8B">
        <w:rPr>
          <w:i/>
        </w:rPr>
        <w:t>in</w:t>
      </w:r>
      <w:r w:rsidR="000E4CF5">
        <w:rPr>
          <w:i/>
        </w:rPr>
        <w:t xml:space="preserve"> </w:t>
      </w:r>
      <w:r w:rsidRPr="00E06F8B">
        <w:rPr>
          <w:i/>
        </w:rPr>
        <w:t>Science</w:t>
      </w:r>
      <w:r w:rsidR="000E4CF5">
        <w:rPr>
          <w:i/>
        </w:rPr>
        <w:t xml:space="preserve"> </w:t>
      </w:r>
      <w:r w:rsidRPr="00E06F8B">
        <w:rPr>
          <w:i/>
        </w:rPr>
        <w:t>Teaching,</w:t>
      </w:r>
      <w:r w:rsidR="000E4CF5">
        <w:rPr>
          <w:i/>
        </w:rPr>
        <w:t xml:space="preserve"> </w:t>
      </w:r>
      <w:r w:rsidRPr="00E06F8B">
        <w:rPr>
          <w:i/>
        </w:rPr>
        <w:t>41</w:t>
      </w:r>
      <w:r w:rsidR="000D0219">
        <w:t>(4)</w:t>
      </w:r>
      <w:r w:rsidRPr="00E06F8B">
        <w:t>,</w:t>
      </w:r>
      <w:r w:rsidR="000E4CF5">
        <w:t xml:space="preserve"> </w:t>
      </w:r>
      <w:r w:rsidRPr="00E06F8B">
        <w:t>370-391.</w:t>
      </w:r>
      <w:proofErr w:type="gramEnd"/>
    </w:p>
    <w:p w14:paraId="6CECAA95" w14:textId="77777777" w:rsidR="007D04A1" w:rsidRPr="00E06F8B" w:rsidRDefault="007D04A1" w:rsidP="00B90BA5">
      <w:pPr>
        <w:pStyle w:val="SEI-ReferenceList"/>
      </w:pPr>
      <w:proofErr w:type="spellStart"/>
      <w:r w:rsidRPr="00E06F8B">
        <w:t>Luft</w:t>
      </w:r>
      <w:proofErr w:type="spellEnd"/>
      <w:r w:rsidRPr="00E06F8B">
        <w:t>,</w:t>
      </w:r>
      <w:r w:rsidR="000E4CF5">
        <w:t xml:space="preserve"> </w:t>
      </w:r>
      <w:r w:rsidRPr="00E06F8B">
        <w:t>J.</w:t>
      </w:r>
      <w:r w:rsidR="000E4CF5">
        <w:t xml:space="preserve"> </w:t>
      </w:r>
      <w:r w:rsidRPr="00E06F8B">
        <w:t>A.</w:t>
      </w:r>
      <w:r w:rsidR="000E4CF5">
        <w:t xml:space="preserve"> </w:t>
      </w:r>
      <w:r w:rsidRPr="00E06F8B">
        <w:t>(2001).</w:t>
      </w:r>
      <w:r w:rsidR="000E4CF5">
        <w:t xml:space="preserve"> </w:t>
      </w:r>
      <w:r w:rsidRPr="00E06F8B">
        <w:t>Changing</w:t>
      </w:r>
      <w:r w:rsidR="000E4CF5">
        <w:t xml:space="preserve"> </w:t>
      </w:r>
      <w:r w:rsidRPr="00E06F8B">
        <w:t>inquiry</w:t>
      </w:r>
      <w:r w:rsidR="000E4CF5">
        <w:t xml:space="preserve"> </w:t>
      </w:r>
      <w:r w:rsidRPr="00E06F8B">
        <w:t>practices</w:t>
      </w:r>
      <w:r w:rsidR="000E4CF5">
        <w:t xml:space="preserve"> </w:t>
      </w:r>
      <w:r w:rsidRPr="00E06F8B">
        <w:t>and</w:t>
      </w:r>
      <w:r w:rsidR="000E4CF5">
        <w:t xml:space="preserve"> </w:t>
      </w:r>
      <w:r w:rsidRPr="00E06F8B">
        <w:t>beliefs:</w:t>
      </w:r>
      <w:r w:rsidR="000E4CF5">
        <w:t xml:space="preserve"> </w:t>
      </w:r>
      <w:r w:rsidRPr="00E06F8B">
        <w:t>The</w:t>
      </w:r>
      <w:r w:rsidR="000E4CF5">
        <w:t xml:space="preserve"> </w:t>
      </w:r>
      <w:r w:rsidRPr="00E06F8B">
        <w:t>impact</w:t>
      </w:r>
      <w:r w:rsidR="000E4CF5">
        <w:t xml:space="preserve"> </w:t>
      </w:r>
      <w:r w:rsidRPr="00E06F8B">
        <w:t>of</w:t>
      </w:r>
      <w:r w:rsidR="000E4CF5">
        <w:t xml:space="preserve"> </w:t>
      </w:r>
      <w:r w:rsidRPr="00E06F8B">
        <w:t>an</w:t>
      </w:r>
      <w:r w:rsidR="000E4CF5">
        <w:t xml:space="preserve"> </w:t>
      </w:r>
      <w:r w:rsidRPr="00E06F8B">
        <w:t>inquiry-based</w:t>
      </w:r>
      <w:r w:rsidR="000E4CF5">
        <w:t xml:space="preserve"> </w:t>
      </w:r>
      <w:r w:rsidRPr="00E06F8B">
        <w:t>professional</w:t>
      </w:r>
      <w:r w:rsidR="000E4CF5">
        <w:t xml:space="preserve"> </w:t>
      </w:r>
      <w:r w:rsidRPr="00E06F8B">
        <w:t>development</w:t>
      </w:r>
      <w:r w:rsidR="000E4CF5">
        <w:t xml:space="preserve"> </w:t>
      </w:r>
      <w:proofErr w:type="spellStart"/>
      <w:r w:rsidRPr="00E06F8B">
        <w:t>programme</w:t>
      </w:r>
      <w:proofErr w:type="spellEnd"/>
      <w:r w:rsidR="000E4CF5">
        <w:t xml:space="preserve"> </w:t>
      </w:r>
      <w:r w:rsidRPr="00E06F8B">
        <w:t>on</w:t>
      </w:r>
      <w:r w:rsidR="000E4CF5">
        <w:t xml:space="preserve"> </w:t>
      </w:r>
      <w:r w:rsidRPr="00E06F8B">
        <w:t>beginning</w:t>
      </w:r>
      <w:r w:rsidR="000E4CF5">
        <w:t xml:space="preserve"> </w:t>
      </w:r>
      <w:r w:rsidRPr="00E06F8B">
        <w:lastRenderedPageBreak/>
        <w:t>and</w:t>
      </w:r>
      <w:r w:rsidR="000E4CF5">
        <w:t xml:space="preserve"> </w:t>
      </w:r>
      <w:r w:rsidRPr="00E06F8B">
        <w:t>experienced</w:t>
      </w:r>
      <w:r w:rsidR="000E4CF5">
        <w:t xml:space="preserve"> </w:t>
      </w:r>
      <w:r w:rsidRPr="00E06F8B">
        <w:t>secondary</w:t>
      </w:r>
      <w:r w:rsidR="000E4CF5">
        <w:t xml:space="preserve"> </w:t>
      </w:r>
      <w:r w:rsidRPr="00E06F8B">
        <w:t>science</w:t>
      </w:r>
      <w:r w:rsidR="000E4CF5">
        <w:t xml:space="preserve"> </w:t>
      </w:r>
      <w:r w:rsidRPr="00E06F8B">
        <w:t>teachers.</w:t>
      </w:r>
      <w:r w:rsidR="000E4CF5">
        <w:t xml:space="preserve"> </w:t>
      </w:r>
      <w:proofErr w:type="gramStart"/>
      <w:r w:rsidRPr="00E06F8B">
        <w:rPr>
          <w:i/>
        </w:rPr>
        <w:t>International</w:t>
      </w:r>
      <w:r w:rsidR="000E4CF5">
        <w:rPr>
          <w:i/>
        </w:rPr>
        <w:t xml:space="preserve"> </w:t>
      </w:r>
      <w:r w:rsidRPr="00E06F8B">
        <w:rPr>
          <w:i/>
        </w:rPr>
        <w:t>Journal</w:t>
      </w:r>
      <w:r w:rsidR="000E4CF5">
        <w:rPr>
          <w:i/>
        </w:rPr>
        <w:t xml:space="preserve"> </w:t>
      </w:r>
      <w:r w:rsidRPr="00E06F8B">
        <w:rPr>
          <w:i/>
        </w:rPr>
        <w:t>of</w:t>
      </w:r>
      <w:r w:rsidR="000E4CF5">
        <w:rPr>
          <w:i/>
        </w:rPr>
        <w:t xml:space="preserve"> </w:t>
      </w:r>
      <w:r w:rsidRPr="00E06F8B">
        <w:rPr>
          <w:i/>
        </w:rPr>
        <w:t>Science</w:t>
      </w:r>
      <w:r w:rsidR="000E4CF5">
        <w:rPr>
          <w:i/>
        </w:rPr>
        <w:t xml:space="preserve"> </w:t>
      </w:r>
      <w:r w:rsidRPr="00E06F8B">
        <w:rPr>
          <w:i/>
        </w:rPr>
        <w:t>Education,</w:t>
      </w:r>
      <w:r w:rsidR="000E4CF5">
        <w:rPr>
          <w:i/>
        </w:rPr>
        <w:t xml:space="preserve"> </w:t>
      </w:r>
      <w:r w:rsidRPr="00E06F8B">
        <w:rPr>
          <w:i/>
        </w:rPr>
        <w:t>23</w:t>
      </w:r>
      <w:r w:rsidR="000D0219">
        <w:t>(5)</w:t>
      </w:r>
      <w:r w:rsidRPr="00E06F8B">
        <w:t>,</w:t>
      </w:r>
      <w:r w:rsidR="000E4CF5">
        <w:t xml:space="preserve"> </w:t>
      </w:r>
      <w:r w:rsidRPr="00E06F8B">
        <w:t>517-534.</w:t>
      </w:r>
      <w:proofErr w:type="gramEnd"/>
    </w:p>
    <w:p w14:paraId="4E590A91" w14:textId="77777777" w:rsidR="007D04A1" w:rsidRPr="00E06F8B" w:rsidRDefault="007D04A1" w:rsidP="00B90BA5">
      <w:pPr>
        <w:pStyle w:val="SEI-ReferenceList"/>
      </w:pPr>
      <w:proofErr w:type="spellStart"/>
      <w:r w:rsidRPr="00E06F8B">
        <w:t>Luft</w:t>
      </w:r>
      <w:proofErr w:type="spellEnd"/>
      <w:r w:rsidRPr="00E06F8B">
        <w:t>,</w:t>
      </w:r>
      <w:r w:rsidR="000E4CF5">
        <w:t xml:space="preserve"> </w:t>
      </w:r>
      <w:r w:rsidRPr="00E06F8B">
        <w:t>J.</w:t>
      </w:r>
      <w:r w:rsidR="000E4CF5">
        <w:t xml:space="preserve"> </w:t>
      </w:r>
      <w:r w:rsidRPr="00E06F8B">
        <w:t>A.,</w:t>
      </w:r>
      <w:r w:rsidR="000E4CF5">
        <w:t xml:space="preserve"> </w:t>
      </w:r>
      <w:proofErr w:type="spellStart"/>
      <w:r w:rsidRPr="00E06F8B">
        <w:t>Roehrig</w:t>
      </w:r>
      <w:proofErr w:type="spellEnd"/>
      <w:r w:rsidRPr="00E06F8B">
        <w:t>,</w:t>
      </w:r>
      <w:r w:rsidR="000E4CF5">
        <w:t xml:space="preserve"> </w:t>
      </w:r>
      <w:r w:rsidRPr="00E06F8B">
        <w:t>G.</w:t>
      </w:r>
      <w:r w:rsidR="000E4CF5">
        <w:t xml:space="preserve"> </w:t>
      </w:r>
      <w:r w:rsidRPr="00E06F8B">
        <w:t>H.,</w:t>
      </w:r>
      <w:r w:rsidR="000E4CF5">
        <w:t xml:space="preserve"> </w:t>
      </w:r>
      <w:r w:rsidRPr="00E06F8B">
        <w:t>&amp;</w:t>
      </w:r>
      <w:r w:rsidR="000E4CF5">
        <w:t xml:space="preserve"> </w:t>
      </w:r>
      <w:r w:rsidRPr="00E06F8B">
        <w:t>Patterson,</w:t>
      </w:r>
      <w:r w:rsidR="000E4CF5">
        <w:t xml:space="preserve"> </w:t>
      </w:r>
      <w:r w:rsidRPr="00E06F8B">
        <w:t>N.</w:t>
      </w:r>
      <w:r w:rsidR="000E4CF5">
        <w:t xml:space="preserve"> </w:t>
      </w:r>
      <w:r w:rsidRPr="00E06F8B">
        <w:t>C.</w:t>
      </w:r>
      <w:r w:rsidR="000E4CF5">
        <w:t xml:space="preserve"> </w:t>
      </w:r>
      <w:r w:rsidRPr="00E06F8B">
        <w:t>(2003).</w:t>
      </w:r>
      <w:r w:rsidR="000E4CF5">
        <w:t xml:space="preserve"> </w:t>
      </w:r>
      <w:r w:rsidRPr="00E06F8B">
        <w:t>Contrasting</w:t>
      </w:r>
      <w:r w:rsidR="000E4CF5">
        <w:t xml:space="preserve"> </w:t>
      </w:r>
      <w:r w:rsidRPr="00E06F8B">
        <w:t>lan</w:t>
      </w:r>
      <w:r w:rsidRPr="00E06F8B">
        <w:t>d</w:t>
      </w:r>
      <w:r w:rsidRPr="00E06F8B">
        <w:t>scapes:</w:t>
      </w:r>
      <w:r w:rsidR="000E4CF5">
        <w:t xml:space="preserve"> </w:t>
      </w:r>
      <w:r w:rsidRPr="00E06F8B">
        <w:t>A</w:t>
      </w:r>
      <w:r w:rsidR="000E4CF5">
        <w:t xml:space="preserve"> </w:t>
      </w:r>
      <w:r w:rsidRPr="00E06F8B">
        <w:t>comparison</w:t>
      </w:r>
      <w:r w:rsidR="000E4CF5">
        <w:t xml:space="preserve"> </w:t>
      </w:r>
      <w:r w:rsidRPr="00E06F8B">
        <w:t>of</w:t>
      </w:r>
      <w:r w:rsidR="000E4CF5">
        <w:t xml:space="preserve"> </w:t>
      </w:r>
      <w:r w:rsidRPr="00E06F8B">
        <w:t>the</w:t>
      </w:r>
      <w:r w:rsidR="000E4CF5">
        <w:t xml:space="preserve"> </w:t>
      </w:r>
      <w:r w:rsidRPr="00E06F8B">
        <w:t>impact</w:t>
      </w:r>
      <w:r w:rsidR="000E4CF5">
        <w:t xml:space="preserve"> </w:t>
      </w:r>
      <w:r w:rsidRPr="00E06F8B">
        <w:t>of</w:t>
      </w:r>
      <w:r w:rsidR="000E4CF5">
        <w:t xml:space="preserve"> </w:t>
      </w:r>
      <w:r w:rsidRPr="00E06F8B">
        <w:t>different</w:t>
      </w:r>
      <w:r w:rsidR="000E4CF5">
        <w:t xml:space="preserve"> </w:t>
      </w:r>
      <w:r w:rsidRPr="00E06F8B">
        <w:t>induction</w:t>
      </w:r>
      <w:r w:rsidR="000E4CF5">
        <w:t xml:space="preserve"> </w:t>
      </w:r>
      <w:r w:rsidRPr="00E06F8B">
        <w:t>programs</w:t>
      </w:r>
      <w:r w:rsidR="000E4CF5">
        <w:t xml:space="preserve"> </w:t>
      </w:r>
      <w:r w:rsidRPr="00E06F8B">
        <w:t>on</w:t>
      </w:r>
      <w:r w:rsidR="000E4CF5">
        <w:t xml:space="preserve"> </w:t>
      </w:r>
      <w:r w:rsidRPr="00E06F8B">
        <w:t>beginning</w:t>
      </w:r>
      <w:r w:rsidR="000E4CF5">
        <w:t xml:space="preserve"> </w:t>
      </w:r>
      <w:r w:rsidRPr="00E06F8B">
        <w:t>secondary</w:t>
      </w:r>
      <w:r w:rsidR="000E4CF5">
        <w:t xml:space="preserve"> </w:t>
      </w:r>
      <w:r w:rsidRPr="00E06F8B">
        <w:t>science</w:t>
      </w:r>
      <w:r w:rsidR="000E4CF5">
        <w:t xml:space="preserve"> </w:t>
      </w:r>
      <w:r w:rsidRPr="00E06F8B">
        <w:t>teachers’</w:t>
      </w:r>
      <w:r w:rsidR="000E4CF5">
        <w:t xml:space="preserve"> </w:t>
      </w:r>
      <w:r w:rsidRPr="00E06F8B">
        <w:t>practices,</w:t>
      </w:r>
      <w:r w:rsidR="000E4CF5">
        <w:t xml:space="preserve"> </w:t>
      </w:r>
      <w:r w:rsidRPr="00E06F8B">
        <w:t>beliefs,</w:t>
      </w:r>
      <w:r w:rsidR="000E4CF5">
        <w:t xml:space="preserve"> </w:t>
      </w:r>
      <w:r w:rsidRPr="00E06F8B">
        <w:t>and</w:t>
      </w:r>
      <w:r w:rsidR="000E4CF5">
        <w:t xml:space="preserve"> </w:t>
      </w:r>
      <w:r w:rsidRPr="00E06F8B">
        <w:t>e</w:t>
      </w:r>
      <w:r w:rsidRPr="00E06F8B">
        <w:t>x</w:t>
      </w:r>
      <w:r w:rsidRPr="00E06F8B">
        <w:t>periences.</w:t>
      </w:r>
      <w:r w:rsidR="000E4CF5">
        <w:t xml:space="preserve"> </w:t>
      </w:r>
      <w:proofErr w:type="gramStart"/>
      <w:r w:rsidRPr="00E06F8B">
        <w:rPr>
          <w:i/>
        </w:rPr>
        <w:t>Journal</w:t>
      </w:r>
      <w:r w:rsidR="000E4CF5">
        <w:rPr>
          <w:i/>
        </w:rPr>
        <w:t xml:space="preserve"> </w:t>
      </w:r>
      <w:r w:rsidRPr="00E06F8B">
        <w:rPr>
          <w:i/>
        </w:rPr>
        <w:t>of</w:t>
      </w:r>
      <w:r w:rsidR="000E4CF5">
        <w:rPr>
          <w:i/>
        </w:rPr>
        <w:t xml:space="preserve"> </w:t>
      </w:r>
      <w:r w:rsidRPr="00E06F8B">
        <w:rPr>
          <w:i/>
        </w:rPr>
        <w:t>Research</w:t>
      </w:r>
      <w:r w:rsidR="000E4CF5">
        <w:rPr>
          <w:i/>
        </w:rPr>
        <w:t xml:space="preserve"> </w:t>
      </w:r>
      <w:r w:rsidRPr="00E06F8B">
        <w:rPr>
          <w:i/>
        </w:rPr>
        <w:t>in</w:t>
      </w:r>
      <w:r w:rsidR="000E4CF5">
        <w:rPr>
          <w:i/>
        </w:rPr>
        <w:t xml:space="preserve"> </w:t>
      </w:r>
      <w:r w:rsidRPr="00E06F8B">
        <w:rPr>
          <w:i/>
        </w:rPr>
        <w:t>Science</w:t>
      </w:r>
      <w:r w:rsidR="000E4CF5">
        <w:rPr>
          <w:i/>
        </w:rPr>
        <w:t xml:space="preserve"> </w:t>
      </w:r>
      <w:r w:rsidRPr="00E06F8B">
        <w:rPr>
          <w:i/>
        </w:rPr>
        <w:t>Teaching,</w:t>
      </w:r>
      <w:r w:rsidR="000E4CF5">
        <w:rPr>
          <w:i/>
        </w:rPr>
        <w:t xml:space="preserve"> </w:t>
      </w:r>
      <w:r w:rsidRPr="00E06F8B">
        <w:rPr>
          <w:i/>
        </w:rPr>
        <w:t>40</w:t>
      </w:r>
      <w:r w:rsidR="000D0219">
        <w:t>(1)</w:t>
      </w:r>
      <w:r w:rsidRPr="00E06F8B">
        <w:t>,</w:t>
      </w:r>
      <w:r w:rsidR="000E4CF5">
        <w:t xml:space="preserve"> </w:t>
      </w:r>
      <w:r w:rsidRPr="00E06F8B">
        <w:t>77-97.</w:t>
      </w:r>
      <w:proofErr w:type="gramEnd"/>
    </w:p>
    <w:p w14:paraId="48F74101" w14:textId="77777777" w:rsidR="007D04A1" w:rsidRPr="00E06F8B" w:rsidRDefault="007D04A1" w:rsidP="00B90BA5">
      <w:pPr>
        <w:pStyle w:val="SEI-ReferenceList"/>
      </w:pPr>
      <w:proofErr w:type="spellStart"/>
      <w:r w:rsidRPr="00E06F8B">
        <w:t>Magno</w:t>
      </w:r>
      <w:proofErr w:type="spellEnd"/>
      <w:r w:rsidRPr="00E06F8B">
        <w:t>,</w:t>
      </w:r>
      <w:r w:rsidR="000E4CF5">
        <w:t xml:space="preserve"> </w:t>
      </w:r>
      <w:r w:rsidRPr="00E06F8B">
        <w:t>C.</w:t>
      </w:r>
      <w:r w:rsidR="000E4CF5">
        <w:t xml:space="preserve"> </w:t>
      </w:r>
      <w:r w:rsidRPr="00E06F8B">
        <w:t>(2010).</w:t>
      </w:r>
      <w:r w:rsidR="000E4CF5">
        <w:t xml:space="preserve"> </w:t>
      </w:r>
      <w:r w:rsidRPr="00E06F8B">
        <w:t>Looking</w:t>
      </w:r>
      <w:r w:rsidR="000E4CF5">
        <w:t xml:space="preserve"> </w:t>
      </w:r>
      <w:r w:rsidRPr="00E06F8B">
        <w:t>at</w:t>
      </w:r>
      <w:r w:rsidR="000E4CF5">
        <w:t xml:space="preserve"> </w:t>
      </w:r>
      <w:r w:rsidRPr="00E06F8B">
        <w:t>Filipino</w:t>
      </w:r>
      <w:r w:rsidR="000E4CF5">
        <w:t xml:space="preserve"> </w:t>
      </w:r>
      <w:r w:rsidRPr="00E06F8B">
        <w:t>pre-service</w:t>
      </w:r>
      <w:r w:rsidR="000E4CF5">
        <w:t xml:space="preserve"> </w:t>
      </w:r>
      <w:r w:rsidRPr="00E06F8B">
        <w:t>teachers’</w:t>
      </w:r>
      <w:r w:rsidR="000E4CF5">
        <w:t xml:space="preserve"> </w:t>
      </w:r>
      <w:r w:rsidRPr="00E06F8B">
        <w:t>value</w:t>
      </w:r>
      <w:r w:rsidR="000E4CF5">
        <w:t xml:space="preserve"> </w:t>
      </w:r>
      <w:r w:rsidRPr="00E06F8B">
        <w:t>for</w:t>
      </w:r>
      <w:r w:rsidR="000E4CF5">
        <w:t xml:space="preserve"> </w:t>
      </w:r>
      <w:r w:rsidRPr="00E06F8B">
        <w:t>e</w:t>
      </w:r>
      <w:r w:rsidRPr="00E06F8B">
        <w:t>d</w:t>
      </w:r>
      <w:r w:rsidRPr="00E06F8B">
        <w:t>ucation</w:t>
      </w:r>
      <w:r w:rsidR="000E4CF5">
        <w:t xml:space="preserve"> </w:t>
      </w:r>
      <w:r w:rsidRPr="00E06F8B">
        <w:t>through</w:t>
      </w:r>
      <w:r w:rsidR="000E4CF5">
        <w:t xml:space="preserve"> </w:t>
      </w:r>
      <w:r w:rsidRPr="00E06F8B">
        <w:t>epistemological</w:t>
      </w:r>
      <w:r w:rsidR="000E4CF5">
        <w:t xml:space="preserve"> </w:t>
      </w:r>
      <w:r w:rsidRPr="00E06F8B">
        <w:t>beliefs</w:t>
      </w:r>
      <w:r w:rsidR="000E4CF5">
        <w:t xml:space="preserve"> </w:t>
      </w:r>
      <w:r w:rsidRPr="00E06F8B">
        <w:t>about</w:t>
      </w:r>
      <w:r w:rsidR="000E4CF5">
        <w:t xml:space="preserve"> </w:t>
      </w:r>
      <w:r w:rsidRPr="00E06F8B">
        <w:t>learning</w:t>
      </w:r>
      <w:r w:rsidR="000E4CF5">
        <w:t xml:space="preserve"> </w:t>
      </w:r>
      <w:r w:rsidRPr="00E06F8B">
        <w:t>and</w:t>
      </w:r>
      <w:r w:rsidR="000E4CF5">
        <w:t xml:space="preserve"> </w:t>
      </w:r>
      <w:r w:rsidRPr="00E06F8B">
        <w:t>Asian</w:t>
      </w:r>
      <w:r w:rsidR="000E4CF5">
        <w:t xml:space="preserve"> </w:t>
      </w:r>
      <w:r w:rsidRPr="00E06F8B">
        <w:t>values.</w:t>
      </w:r>
      <w:r w:rsidR="000E4CF5">
        <w:t xml:space="preserve"> </w:t>
      </w:r>
      <w:proofErr w:type="gramStart"/>
      <w:r w:rsidRPr="00E06F8B">
        <w:rPr>
          <w:i/>
        </w:rPr>
        <w:t>The</w:t>
      </w:r>
      <w:r w:rsidR="000E4CF5">
        <w:rPr>
          <w:i/>
        </w:rPr>
        <w:t xml:space="preserve"> </w:t>
      </w:r>
      <w:r w:rsidRPr="00E06F8B">
        <w:rPr>
          <w:i/>
        </w:rPr>
        <w:t>Asia-Pacific</w:t>
      </w:r>
      <w:r w:rsidR="000E4CF5">
        <w:rPr>
          <w:i/>
        </w:rPr>
        <w:t xml:space="preserve"> </w:t>
      </w:r>
      <w:r w:rsidRPr="00E06F8B">
        <w:rPr>
          <w:i/>
        </w:rPr>
        <w:t>Education</w:t>
      </w:r>
      <w:r w:rsidR="000E4CF5">
        <w:rPr>
          <w:i/>
        </w:rPr>
        <w:t xml:space="preserve"> </w:t>
      </w:r>
      <w:r w:rsidRPr="00E06F8B">
        <w:rPr>
          <w:i/>
        </w:rPr>
        <w:t>Researcher,</w:t>
      </w:r>
      <w:r w:rsidR="000E4CF5">
        <w:rPr>
          <w:i/>
        </w:rPr>
        <w:t xml:space="preserve"> </w:t>
      </w:r>
      <w:r w:rsidRPr="00E06F8B">
        <w:rPr>
          <w:i/>
        </w:rPr>
        <w:t>19</w:t>
      </w:r>
      <w:r w:rsidR="000D0219">
        <w:t>(1)</w:t>
      </w:r>
      <w:r w:rsidRPr="00E06F8B">
        <w:rPr>
          <w:i/>
        </w:rPr>
        <w:t>,</w:t>
      </w:r>
      <w:r w:rsidR="000E4CF5">
        <w:rPr>
          <w:i/>
        </w:rPr>
        <w:t xml:space="preserve"> </w:t>
      </w:r>
      <w:r w:rsidRPr="00E06F8B">
        <w:t>61-68.</w:t>
      </w:r>
      <w:proofErr w:type="gramEnd"/>
    </w:p>
    <w:p w14:paraId="5085A585" w14:textId="77777777" w:rsidR="007D04A1" w:rsidRPr="00E06F8B" w:rsidRDefault="007D04A1" w:rsidP="00B90BA5">
      <w:pPr>
        <w:pStyle w:val="SEI-ReferenceList"/>
      </w:pPr>
      <w:proofErr w:type="spellStart"/>
      <w:r w:rsidRPr="00E06F8B">
        <w:t>Magno</w:t>
      </w:r>
      <w:proofErr w:type="spellEnd"/>
      <w:r w:rsidRPr="00E06F8B">
        <w:t>,</w:t>
      </w:r>
      <w:r w:rsidR="000E4CF5">
        <w:t xml:space="preserve"> </w:t>
      </w:r>
      <w:r w:rsidRPr="00E06F8B">
        <w:t>C.</w:t>
      </w:r>
      <w:r w:rsidR="000E4CF5">
        <w:t xml:space="preserve"> </w:t>
      </w:r>
      <w:r w:rsidRPr="00E06F8B">
        <w:t>(2011).</w:t>
      </w:r>
      <w:r w:rsidR="000E4CF5">
        <w:t xml:space="preserve"> </w:t>
      </w:r>
      <w:r w:rsidRPr="00E06F8B">
        <w:t>Exploring</w:t>
      </w:r>
      <w:r w:rsidR="000E4CF5">
        <w:t xml:space="preserve"> </w:t>
      </w:r>
      <w:r w:rsidRPr="00E06F8B">
        <w:t>the</w:t>
      </w:r>
      <w:r w:rsidR="000E4CF5">
        <w:t xml:space="preserve"> </w:t>
      </w:r>
      <w:r w:rsidRPr="00E06F8B">
        <w:t>relationship</w:t>
      </w:r>
      <w:r w:rsidR="000E4CF5">
        <w:t xml:space="preserve"> </w:t>
      </w:r>
      <w:r w:rsidRPr="00E06F8B">
        <w:t>between</w:t>
      </w:r>
      <w:r w:rsidR="000E4CF5">
        <w:t xml:space="preserve"> </w:t>
      </w:r>
      <w:r w:rsidRPr="00E06F8B">
        <w:t>epistemological</w:t>
      </w:r>
      <w:r w:rsidR="000E4CF5">
        <w:t xml:space="preserve"> </w:t>
      </w:r>
      <w:r w:rsidRPr="00E06F8B">
        <w:t>beliefs</w:t>
      </w:r>
      <w:r w:rsidR="000E4CF5">
        <w:t xml:space="preserve"> </w:t>
      </w:r>
      <w:r w:rsidRPr="00E06F8B">
        <w:t>and</w:t>
      </w:r>
      <w:r w:rsidR="000E4CF5">
        <w:t xml:space="preserve"> </w:t>
      </w:r>
      <w:r w:rsidRPr="00E06F8B">
        <w:t>self-determination.</w:t>
      </w:r>
      <w:r w:rsidR="000E4CF5">
        <w:t xml:space="preserve"> </w:t>
      </w:r>
      <w:proofErr w:type="gramStart"/>
      <w:r w:rsidRPr="00E06F8B">
        <w:rPr>
          <w:i/>
        </w:rPr>
        <w:t>The</w:t>
      </w:r>
      <w:r w:rsidR="000E4CF5">
        <w:rPr>
          <w:i/>
        </w:rPr>
        <w:t xml:space="preserve"> </w:t>
      </w:r>
      <w:r w:rsidRPr="00E06F8B">
        <w:rPr>
          <w:i/>
        </w:rPr>
        <w:t>International</w:t>
      </w:r>
      <w:r w:rsidR="000E4CF5">
        <w:rPr>
          <w:i/>
        </w:rPr>
        <w:t xml:space="preserve"> </w:t>
      </w:r>
      <w:r w:rsidRPr="00E06F8B">
        <w:rPr>
          <w:i/>
        </w:rPr>
        <w:t>Journal</w:t>
      </w:r>
      <w:r w:rsidR="000E4CF5">
        <w:rPr>
          <w:i/>
        </w:rPr>
        <w:t xml:space="preserve"> </w:t>
      </w:r>
      <w:r w:rsidRPr="00E06F8B">
        <w:rPr>
          <w:i/>
        </w:rPr>
        <w:t>of</w:t>
      </w:r>
      <w:r w:rsidR="000E4CF5">
        <w:rPr>
          <w:i/>
        </w:rPr>
        <w:t xml:space="preserve"> </w:t>
      </w:r>
      <w:r w:rsidRPr="00E06F8B">
        <w:rPr>
          <w:i/>
        </w:rPr>
        <w:t>Research</w:t>
      </w:r>
      <w:r w:rsidR="000E4CF5">
        <w:rPr>
          <w:i/>
        </w:rPr>
        <w:t xml:space="preserve"> </w:t>
      </w:r>
      <w:r w:rsidRPr="00E06F8B">
        <w:rPr>
          <w:i/>
        </w:rPr>
        <w:t>and</w:t>
      </w:r>
      <w:r w:rsidR="000E4CF5">
        <w:rPr>
          <w:i/>
        </w:rPr>
        <w:t xml:space="preserve"> </w:t>
      </w:r>
      <w:r w:rsidRPr="00E06F8B">
        <w:rPr>
          <w:i/>
        </w:rPr>
        <w:t>Review,</w:t>
      </w:r>
      <w:r w:rsidR="000E4CF5">
        <w:rPr>
          <w:i/>
        </w:rPr>
        <w:t xml:space="preserve"> </w:t>
      </w:r>
      <w:r w:rsidRPr="00E06F8B">
        <w:rPr>
          <w:i/>
        </w:rPr>
        <w:t>7</w:t>
      </w:r>
      <w:r w:rsidRPr="00E06F8B">
        <w:t>(1),</w:t>
      </w:r>
      <w:r w:rsidR="000E4CF5">
        <w:t xml:space="preserve"> </w:t>
      </w:r>
      <w:r w:rsidRPr="00E06F8B">
        <w:t>1-23.</w:t>
      </w:r>
      <w:proofErr w:type="gramEnd"/>
    </w:p>
    <w:p w14:paraId="322BB735" w14:textId="77777777" w:rsidR="007D04A1" w:rsidRPr="00E06F8B" w:rsidRDefault="007D04A1" w:rsidP="00B90BA5">
      <w:pPr>
        <w:pStyle w:val="SEI-ReferenceList"/>
      </w:pPr>
      <w:proofErr w:type="gramStart"/>
      <w:r w:rsidRPr="00E06F8B">
        <w:t>Mansour,</w:t>
      </w:r>
      <w:r w:rsidR="000E4CF5">
        <w:t xml:space="preserve"> </w:t>
      </w:r>
      <w:r w:rsidRPr="00E06F8B">
        <w:t>N.</w:t>
      </w:r>
      <w:r w:rsidR="000E4CF5">
        <w:t xml:space="preserve"> </w:t>
      </w:r>
      <w:r w:rsidRPr="00E06F8B">
        <w:t>(2009).</w:t>
      </w:r>
      <w:proofErr w:type="gramEnd"/>
      <w:r w:rsidR="000E4CF5">
        <w:t xml:space="preserve"> </w:t>
      </w:r>
      <w:r w:rsidRPr="00E06F8B">
        <w:t>Science</w:t>
      </w:r>
      <w:r w:rsidR="000E4CF5">
        <w:t xml:space="preserve"> </w:t>
      </w:r>
      <w:r w:rsidRPr="00E06F8B">
        <w:t>teachers’</w:t>
      </w:r>
      <w:r w:rsidR="000E4CF5">
        <w:t xml:space="preserve"> </w:t>
      </w:r>
      <w:r w:rsidRPr="00E06F8B">
        <w:t>beliefs</w:t>
      </w:r>
      <w:r w:rsidR="000E4CF5">
        <w:t xml:space="preserve"> </w:t>
      </w:r>
      <w:r w:rsidRPr="00E06F8B">
        <w:t>and</w:t>
      </w:r>
      <w:r w:rsidR="000E4CF5">
        <w:t xml:space="preserve"> </w:t>
      </w:r>
      <w:r w:rsidRPr="00E06F8B">
        <w:t>practices:</w:t>
      </w:r>
      <w:r w:rsidR="000E4CF5">
        <w:t xml:space="preserve"> </w:t>
      </w:r>
      <w:r w:rsidRPr="00E06F8B">
        <w:t>Issues,</w:t>
      </w:r>
      <w:r w:rsidR="000E4CF5">
        <w:t xml:space="preserve"> </w:t>
      </w:r>
      <w:r w:rsidRPr="00E06F8B">
        <w:t>impl</w:t>
      </w:r>
      <w:r w:rsidRPr="00E06F8B">
        <w:t>i</w:t>
      </w:r>
      <w:r w:rsidRPr="00E06F8B">
        <w:t>cations</w:t>
      </w:r>
      <w:r w:rsidR="000E4CF5">
        <w:t xml:space="preserve"> </w:t>
      </w:r>
      <w:r w:rsidRPr="00E06F8B">
        <w:t>and</w:t>
      </w:r>
      <w:r w:rsidR="000E4CF5">
        <w:t xml:space="preserve"> </w:t>
      </w:r>
      <w:r w:rsidRPr="00E06F8B">
        <w:t>research</w:t>
      </w:r>
      <w:r w:rsidR="000E4CF5">
        <w:t xml:space="preserve"> </w:t>
      </w:r>
      <w:r w:rsidRPr="00E06F8B">
        <w:t>agenda.</w:t>
      </w:r>
      <w:r w:rsidR="000E4CF5">
        <w:t xml:space="preserve"> </w:t>
      </w:r>
      <w:proofErr w:type="gramStart"/>
      <w:r w:rsidRPr="00E06F8B">
        <w:rPr>
          <w:i/>
        </w:rPr>
        <w:t>International</w:t>
      </w:r>
      <w:r w:rsidR="000E4CF5">
        <w:rPr>
          <w:i/>
        </w:rPr>
        <w:t xml:space="preserve"> </w:t>
      </w:r>
      <w:r w:rsidRPr="00E06F8B">
        <w:rPr>
          <w:i/>
        </w:rPr>
        <w:t>Journal</w:t>
      </w:r>
      <w:r w:rsidR="000E4CF5">
        <w:rPr>
          <w:i/>
        </w:rPr>
        <w:t xml:space="preserve"> </w:t>
      </w:r>
      <w:r w:rsidRPr="00E06F8B">
        <w:rPr>
          <w:i/>
        </w:rPr>
        <w:t>of</w:t>
      </w:r>
      <w:r w:rsidR="000E4CF5">
        <w:rPr>
          <w:i/>
        </w:rPr>
        <w:t xml:space="preserve"> </w:t>
      </w:r>
      <w:r w:rsidRPr="00E06F8B">
        <w:rPr>
          <w:i/>
        </w:rPr>
        <w:t>Environmental</w:t>
      </w:r>
      <w:r w:rsidR="000E4CF5">
        <w:rPr>
          <w:i/>
        </w:rPr>
        <w:t xml:space="preserve"> </w:t>
      </w:r>
      <w:r w:rsidRPr="00E06F8B">
        <w:rPr>
          <w:i/>
        </w:rPr>
        <w:t>&amp;</w:t>
      </w:r>
      <w:r w:rsidR="000E4CF5">
        <w:rPr>
          <w:i/>
        </w:rPr>
        <w:t xml:space="preserve"> </w:t>
      </w:r>
      <w:r w:rsidRPr="00E06F8B">
        <w:rPr>
          <w:i/>
        </w:rPr>
        <w:t>Science</w:t>
      </w:r>
      <w:r w:rsidR="000E4CF5">
        <w:rPr>
          <w:i/>
        </w:rPr>
        <w:t xml:space="preserve"> </w:t>
      </w:r>
      <w:r w:rsidRPr="00E06F8B">
        <w:rPr>
          <w:i/>
        </w:rPr>
        <w:t>Education,</w:t>
      </w:r>
      <w:r w:rsidR="000E4CF5">
        <w:rPr>
          <w:i/>
        </w:rPr>
        <w:t xml:space="preserve"> </w:t>
      </w:r>
      <w:r w:rsidRPr="00E06F8B">
        <w:rPr>
          <w:i/>
        </w:rPr>
        <w:t>4</w:t>
      </w:r>
      <w:r w:rsidR="000D0219">
        <w:t>(1)</w:t>
      </w:r>
      <w:r w:rsidRPr="00E06F8B">
        <w:t>,</w:t>
      </w:r>
      <w:r w:rsidR="000E4CF5">
        <w:t xml:space="preserve"> </w:t>
      </w:r>
      <w:r w:rsidRPr="00E06F8B">
        <w:t>25-48.</w:t>
      </w:r>
      <w:proofErr w:type="gramEnd"/>
    </w:p>
    <w:p w14:paraId="52204891" w14:textId="77777777" w:rsidR="007D04A1" w:rsidRPr="00E06F8B" w:rsidRDefault="007D04A1" w:rsidP="00B90BA5">
      <w:pPr>
        <w:pStyle w:val="SEI-ReferenceList"/>
      </w:pPr>
      <w:r w:rsidRPr="00E06F8B">
        <w:t>Martin,</w:t>
      </w:r>
      <w:r w:rsidR="000E4CF5">
        <w:t xml:space="preserve"> </w:t>
      </w:r>
      <w:r w:rsidRPr="00E06F8B">
        <w:t>M.O.,</w:t>
      </w:r>
      <w:r w:rsidR="000E4CF5">
        <w:t xml:space="preserve"> </w:t>
      </w:r>
      <w:r w:rsidRPr="00E06F8B">
        <w:t>Mullis,</w:t>
      </w:r>
      <w:r w:rsidR="000E4CF5">
        <w:t xml:space="preserve"> </w:t>
      </w:r>
      <w:r w:rsidRPr="00E06F8B">
        <w:t>I.V.S.,</w:t>
      </w:r>
      <w:r w:rsidR="000E4CF5">
        <w:t xml:space="preserve"> </w:t>
      </w:r>
      <w:r w:rsidRPr="00E06F8B">
        <w:t>&amp;</w:t>
      </w:r>
      <w:r w:rsidR="000E4CF5">
        <w:t xml:space="preserve"> </w:t>
      </w:r>
      <w:r w:rsidRPr="00E06F8B">
        <w:t>Foy,</w:t>
      </w:r>
      <w:r w:rsidR="000E4CF5">
        <w:t xml:space="preserve"> </w:t>
      </w:r>
      <w:r w:rsidRPr="00E06F8B">
        <w:t>P.</w:t>
      </w:r>
      <w:r w:rsidR="000E4CF5">
        <w:t xml:space="preserve"> </w:t>
      </w:r>
      <w:r w:rsidRPr="00E06F8B">
        <w:t>(with</w:t>
      </w:r>
      <w:r w:rsidR="000E4CF5">
        <w:t xml:space="preserve"> </w:t>
      </w:r>
      <w:r w:rsidRPr="00E06F8B">
        <w:t>Olson,</w:t>
      </w:r>
      <w:r w:rsidR="000E4CF5">
        <w:t xml:space="preserve"> </w:t>
      </w:r>
      <w:r w:rsidRPr="00E06F8B">
        <w:t>J.F.,</w:t>
      </w:r>
      <w:r w:rsidR="000E4CF5">
        <w:t xml:space="preserve"> </w:t>
      </w:r>
      <w:proofErr w:type="spellStart"/>
      <w:r w:rsidRPr="00E06F8B">
        <w:t>Erberber</w:t>
      </w:r>
      <w:proofErr w:type="spellEnd"/>
      <w:r w:rsidRPr="00E06F8B">
        <w:t>,</w:t>
      </w:r>
      <w:r w:rsidR="000E4CF5">
        <w:t xml:space="preserve"> </w:t>
      </w:r>
      <w:r w:rsidRPr="00E06F8B">
        <w:t>E.,</w:t>
      </w:r>
      <w:r w:rsidR="000E4CF5">
        <w:t xml:space="preserve"> </w:t>
      </w:r>
      <w:proofErr w:type="spellStart"/>
      <w:r w:rsidRPr="00E06F8B">
        <w:t>Preuschoff</w:t>
      </w:r>
      <w:proofErr w:type="spellEnd"/>
      <w:r w:rsidRPr="00E06F8B">
        <w:t>,</w:t>
      </w:r>
      <w:r w:rsidR="000E4CF5">
        <w:t xml:space="preserve"> </w:t>
      </w:r>
      <w:r w:rsidRPr="00E06F8B">
        <w:t>C.,</w:t>
      </w:r>
      <w:r w:rsidR="000E4CF5">
        <w:t xml:space="preserve"> </w:t>
      </w:r>
      <w:r w:rsidRPr="00E06F8B">
        <w:t>&amp;</w:t>
      </w:r>
      <w:r w:rsidR="000E4CF5">
        <w:t xml:space="preserve"> </w:t>
      </w:r>
      <w:proofErr w:type="spellStart"/>
      <w:r w:rsidRPr="00E06F8B">
        <w:t>Galia</w:t>
      </w:r>
      <w:proofErr w:type="spellEnd"/>
      <w:r w:rsidRPr="00E06F8B">
        <w:t>,</w:t>
      </w:r>
      <w:r w:rsidR="000E4CF5">
        <w:t xml:space="preserve"> </w:t>
      </w:r>
      <w:r w:rsidRPr="00E06F8B">
        <w:t>J.).</w:t>
      </w:r>
      <w:r w:rsidR="000E4CF5">
        <w:t xml:space="preserve"> </w:t>
      </w:r>
      <w:r w:rsidRPr="00E06F8B">
        <w:t>(2008).</w:t>
      </w:r>
      <w:r w:rsidR="000E4CF5">
        <w:t xml:space="preserve"> </w:t>
      </w:r>
      <w:r w:rsidRPr="00E06F8B">
        <w:t>TIMSS</w:t>
      </w:r>
      <w:r w:rsidR="000E4CF5">
        <w:t xml:space="preserve"> </w:t>
      </w:r>
      <w:r w:rsidRPr="00E06F8B">
        <w:t>2007</w:t>
      </w:r>
      <w:r w:rsidR="000E4CF5">
        <w:t xml:space="preserve"> </w:t>
      </w:r>
      <w:r w:rsidRPr="00E06F8B">
        <w:t>international</w:t>
      </w:r>
      <w:r w:rsidR="000E4CF5">
        <w:t xml:space="preserve"> </w:t>
      </w:r>
      <w:r w:rsidRPr="00E06F8B">
        <w:t>sc</w:t>
      </w:r>
      <w:r w:rsidRPr="00E06F8B">
        <w:t>i</w:t>
      </w:r>
      <w:r w:rsidRPr="00E06F8B">
        <w:t>ence</w:t>
      </w:r>
      <w:r w:rsidR="000E4CF5">
        <w:t xml:space="preserve"> </w:t>
      </w:r>
      <w:r w:rsidRPr="00E06F8B">
        <w:t>report:</w:t>
      </w:r>
      <w:r w:rsidR="000E4CF5">
        <w:t xml:space="preserve"> </w:t>
      </w:r>
      <w:r w:rsidRPr="00E06F8B">
        <w:t>Findings</w:t>
      </w:r>
      <w:r w:rsidR="000E4CF5">
        <w:t xml:space="preserve"> </w:t>
      </w:r>
      <w:r w:rsidRPr="00E06F8B">
        <w:t>from</w:t>
      </w:r>
      <w:r w:rsidR="000E4CF5">
        <w:t xml:space="preserve"> </w:t>
      </w:r>
      <w:proofErr w:type="spellStart"/>
      <w:r w:rsidRPr="00E06F8B">
        <w:t>IEA’s</w:t>
      </w:r>
      <w:proofErr w:type="spellEnd"/>
      <w:r w:rsidR="000E4CF5">
        <w:t xml:space="preserve"> </w:t>
      </w:r>
      <w:r w:rsidRPr="00E06F8B">
        <w:t>Trends</w:t>
      </w:r>
      <w:r w:rsidR="000E4CF5">
        <w:t xml:space="preserve"> </w:t>
      </w:r>
      <w:r w:rsidRPr="00E06F8B">
        <w:t>in</w:t>
      </w:r>
      <w:r w:rsidR="000E4CF5">
        <w:t xml:space="preserve"> </w:t>
      </w:r>
      <w:r w:rsidRPr="00E06F8B">
        <w:t>International</w:t>
      </w:r>
      <w:r w:rsidR="000E4CF5">
        <w:t xml:space="preserve"> </w:t>
      </w:r>
      <w:r w:rsidRPr="00E06F8B">
        <w:t>Mathema</w:t>
      </w:r>
      <w:r w:rsidRPr="00E06F8B">
        <w:t>t</w:t>
      </w:r>
      <w:r w:rsidRPr="00E06F8B">
        <w:t>ics</w:t>
      </w:r>
      <w:r w:rsidR="000E4CF5">
        <w:t xml:space="preserve"> </w:t>
      </w:r>
      <w:r w:rsidRPr="00E06F8B">
        <w:t>and</w:t>
      </w:r>
      <w:r w:rsidR="000E4CF5">
        <w:t xml:space="preserve"> </w:t>
      </w:r>
      <w:r w:rsidRPr="00E06F8B">
        <w:t>Science</w:t>
      </w:r>
      <w:r w:rsidR="000E4CF5">
        <w:t xml:space="preserve"> </w:t>
      </w:r>
      <w:r w:rsidRPr="00E06F8B">
        <w:t>Study</w:t>
      </w:r>
      <w:r w:rsidR="000E4CF5">
        <w:t xml:space="preserve"> </w:t>
      </w:r>
      <w:r w:rsidRPr="00E06F8B">
        <w:t>at</w:t>
      </w:r>
      <w:r w:rsidR="000E4CF5">
        <w:t xml:space="preserve"> </w:t>
      </w:r>
      <w:r w:rsidRPr="00E06F8B">
        <w:t>the</w:t>
      </w:r>
      <w:r w:rsidR="000E4CF5">
        <w:t xml:space="preserve"> </w:t>
      </w:r>
      <w:r w:rsidRPr="00E06F8B">
        <w:t>fourth</w:t>
      </w:r>
      <w:r w:rsidR="000E4CF5">
        <w:t xml:space="preserve"> </w:t>
      </w:r>
      <w:r w:rsidRPr="00E06F8B">
        <w:t>and</w:t>
      </w:r>
      <w:r w:rsidR="000E4CF5">
        <w:t xml:space="preserve"> </w:t>
      </w:r>
      <w:r w:rsidRPr="00E06F8B">
        <w:t>eighth</w:t>
      </w:r>
      <w:r w:rsidR="000E4CF5">
        <w:t xml:space="preserve"> </w:t>
      </w:r>
      <w:r w:rsidRPr="00E06F8B">
        <w:t>grades.</w:t>
      </w:r>
      <w:r w:rsidR="000E4CF5">
        <w:t xml:space="preserve"> </w:t>
      </w:r>
      <w:r w:rsidRPr="00E06F8B">
        <w:t>Chestnut</w:t>
      </w:r>
      <w:r w:rsidR="000E4CF5">
        <w:t xml:space="preserve"> </w:t>
      </w:r>
      <w:r w:rsidRPr="00E06F8B">
        <w:t>Hill,</w:t>
      </w:r>
      <w:r w:rsidR="000E4CF5">
        <w:t xml:space="preserve"> </w:t>
      </w:r>
      <w:r w:rsidRPr="00E06F8B">
        <w:t>MA:</w:t>
      </w:r>
      <w:r w:rsidR="000E4CF5">
        <w:t xml:space="preserve"> </w:t>
      </w:r>
      <w:r w:rsidRPr="00E06F8B">
        <w:t>TIMSS</w:t>
      </w:r>
      <w:r w:rsidR="000E4CF5">
        <w:t xml:space="preserve"> </w:t>
      </w:r>
      <w:r w:rsidRPr="00E06F8B">
        <w:t>&amp;</w:t>
      </w:r>
      <w:r w:rsidR="000E4CF5">
        <w:t xml:space="preserve"> </w:t>
      </w:r>
      <w:r w:rsidRPr="00E06F8B">
        <w:t>PIRLS</w:t>
      </w:r>
      <w:r w:rsidR="000E4CF5">
        <w:t xml:space="preserve"> </w:t>
      </w:r>
      <w:r w:rsidRPr="00E06F8B">
        <w:t>International</w:t>
      </w:r>
      <w:r w:rsidR="000E4CF5">
        <w:t xml:space="preserve"> </w:t>
      </w:r>
      <w:r w:rsidRPr="00E06F8B">
        <w:t>Study</w:t>
      </w:r>
      <w:r w:rsidR="000E4CF5">
        <w:t xml:space="preserve"> </w:t>
      </w:r>
      <w:r w:rsidRPr="00E06F8B">
        <w:t>Center,</w:t>
      </w:r>
      <w:r w:rsidR="000E4CF5">
        <w:t xml:space="preserve"> </w:t>
      </w:r>
      <w:r w:rsidRPr="00E06F8B">
        <w:t>Boston</w:t>
      </w:r>
      <w:r w:rsidR="000E4CF5">
        <w:t xml:space="preserve"> </w:t>
      </w:r>
      <w:r w:rsidRPr="00E06F8B">
        <w:t>College.</w:t>
      </w:r>
      <w:r w:rsidR="000E4CF5">
        <w:t xml:space="preserve"> </w:t>
      </w:r>
    </w:p>
    <w:p w14:paraId="3B8CB420" w14:textId="77777777" w:rsidR="007D04A1" w:rsidRPr="00E06F8B" w:rsidRDefault="007D04A1" w:rsidP="00B90BA5">
      <w:pPr>
        <w:pStyle w:val="SEI-ReferenceList"/>
        <w:rPr>
          <w:rFonts w:cs="Verdana"/>
        </w:rPr>
      </w:pPr>
      <w:r w:rsidRPr="00E06F8B">
        <w:rPr>
          <w:rFonts w:cs="Verdana"/>
        </w:rPr>
        <w:t>Martin,</w:t>
      </w:r>
      <w:r w:rsidR="000E4CF5">
        <w:rPr>
          <w:rFonts w:cs="Verdana"/>
        </w:rPr>
        <w:t xml:space="preserve"> </w:t>
      </w:r>
      <w:r w:rsidRPr="00E06F8B">
        <w:rPr>
          <w:rFonts w:cs="Verdana"/>
        </w:rPr>
        <w:t>M.O.,</w:t>
      </w:r>
      <w:r w:rsidR="000E4CF5">
        <w:rPr>
          <w:rFonts w:cs="Verdana"/>
        </w:rPr>
        <w:t xml:space="preserve"> </w:t>
      </w:r>
      <w:r w:rsidRPr="00E06F8B">
        <w:rPr>
          <w:rFonts w:cs="Verdana"/>
        </w:rPr>
        <w:t>Mullis,</w:t>
      </w:r>
      <w:r w:rsidR="000E4CF5">
        <w:rPr>
          <w:rFonts w:cs="Verdana"/>
        </w:rPr>
        <w:t xml:space="preserve"> </w:t>
      </w:r>
      <w:r w:rsidRPr="00E06F8B">
        <w:rPr>
          <w:rFonts w:cs="Verdana"/>
        </w:rPr>
        <w:t>I.V.S.,</w:t>
      </w:r>
      <w:r w:rsidR="000E4CF5">
        <w:rPr>
          <w:rFonts w:cs="Verdana"/>
        </w:rPr>
        <w:t xml:space="preserve"> </w:t>
      </w:r>
      <w:r w:rsidRPr="00E06F8B">
        <w:rPr>
          <w:rFonts w:cs="Verdana"/>
        </w:rPr>
        <w:t>Gonzalez,</w:t>
      </w:r>
      <w:r w:rsidR="000E4CF5">
        <w:rPr>
          <w:rFonts w:cs="Verdana"/>
        </w:rPr>
        <w:t xml:space="preserve"> </w:t>
      </w:r>
      <w:r w:rsidRPr="00E06F8B">
        <w:rPr>
          <w:rFonts w:cs="Verdana"/>
        </w:rPr>
        <w:t>E.J.,</w:t>
      </w:r>
      <w:r w:rsidR="000E4CF5">
        <w:rPr>
          <w:rFonts w:cs="Verdana"/>
        </w:rPr>
        <w:t xml:space="preserve"> </w:t>
      </w:r>
      <w:r w:rsidRPr="00E06F8B">
        <w:rPr>
          <w:rFonts w:cs="Verdana"/>
        </w:rPr>
        <w:t>&amp;</w:t>
      </w:r>
      <w:r w:rsidR="000E4CF5">
        <w:rPr>
          <w:rFonts w:cs="Verdana"/>
        </w:rPr>
        <w:t xml:space="preserve"> </w:t>
      </w:r>
      <w:proofErr w:type="spellStart"/>
      <w:r w:rsidRPr="00E06F8B">
        <w:rPr>
          <w:rFonts w:cs="Verdana"/>
        </w:rPr>
        <w:t>Chrostowski</w:t>
      </w:r>
      <w:proofErr w:type="spellEnd"/>
      <w:r w:rsidRPr="00E06F8B">
        <w:rPr>
          <w:rFonts w:cs="Verdana"/>
        </w:rPr>
        <w:t>,</w:t>
      </w:r>
      <w:r w:rsidR="000E4CF5">
        <w:rPr>
          <w:rFonts w:cs="Verdana"/>
        </w:rPr>
        <w:t xml:space="preserve"> </w:t>
      </w:r>
      <w:r w:rsidRPr="00E06F8B">
        <w:rPr>
          <w:rFonts w:cs="Verdana"/>
        </w:rPr>
        <w:t>S.J.</w:t>
      </w:r>
      <w:r w:rsidR="000E4CF5">
        <w:rPr>
          <w:rFonts w:cs="Verdana"/>
        </w:rPr>
        <w:t xml:space="preserve"> </w:t>
      </w:r>
      <w:r w:rsidRPr="00E06F8B">
        <w:rPr>
          <w:rFonts w:cs="Verdana"/>
        </w:rPr>
        <w:t>(2004).</w:t>
      </w:r>
      <w:r w:rsidR="000E4CF5">
        <w:rPr>
          <w:rFonts w:cs="Verdana"/>
        </w:rPr>
        <w:t xml:space="preserve"> </w:t>
      </w:r>
      <w:r w:rsidRPr="00E06F8B">
        <w:t>TIMSS</w:t>
      </w:r>
      <w:r w:rsidR="000E4CF5">
        <w:t xml:space="preserve"> </w:t>
      </w:r>
      <w:r w:rsidRPr="00E06F8B">
        <w:t>2003</w:t>
      </w:r>
      <w:r w:rsidR="000E4CF5">
        <w:t xml:space="preserve"> </w:t>
      </w:r>
      <w:r w:rsidRPr="00E06F8B">
        <w:t>international</w:t>
      </w:r>
      <w:r w:rsidR="000E4CF5">
        <w:t xml:space="preserve"> </w:t>
      </w:r>
      <w:r w:rsidRPr="00E06F8B">
        <w:t>science</w:t>
      </w:r>
      <w:r w:rsidR="000E4CF5">
        <w:t xml:space="preserve"> </w:t>
      </w:r>
      <w:r w:rsidRPr="00E06F8B">
        <w:t>report:</w:t>
      </w:r>
      <w:r w:rsidR="000E4CF5">
        <w:t xml:space="preserve"> </w:t>
      </w:r>
      <w:r w:rsidRPr="00E06F8B">
        <w:t>Findings</w:t>
      </w:r>
      <w:r w:rsidR="000E4CF5">
        <w:t xml:space="preserve"> </w:t>
      </w:r>
      <w:r w:rsidRPr="00E06F8B">
        <w:t>from</w:t>
      </w:r>
      <w:r w:rsidR="000E4CF5">
        <w:t xml:space="preserve"> </w:t>
      </w:r>
      <w:proofErr w:type="spellStart"/>
      <w:r w:rsidRPr="00E06F8B">
        <w:t>IEA’s</w:t>
      </w:r>
      <w:proofErr w:type="spellEnd"/>
      <w:r w:rsidR="000E4CF5">
        <w:t xml:space="preserve"> </w:t>
      </w:r>
      <w:r w:rsidRPr="00E06F8B">
        <w:t>Trends</w:t>
      </w:r>
      <w:r w:rsidR="000E4CF5">
        <w:t xml:space="preserve"> </w:t>
      </w:r>
      <w:r w:rsidRPr="00E06F8B">
        <w:t>in</w:t>
      </w:r>
      <w:r w:rsidR="000E4CF5">
        <w:t xml:space="preserve"> </w:t>
      </w:r>
      <w:r w:rsidRPr="00E06F8B">
        <w:t>International</w:t>
      </w:r>
      <w:r w:rsidR="000E4CF5">
        <w:t xml:space="preserve"> </w:t>
      </w:r>
      <w:r w:rsidRPr="00E06F8B">
        <w:t>Mathematics</w:t>
      </w:r>
      <w:r w:rsidR="000E4CF5">
        <w:t xml:space="preserve"> </w:t>
      </w:r>
      <w:r w:rsidRPr="00E06F8B">
        <w:t>and</w:t>
      </w:r>
      <w:r w:rsidR="000E4CF5">
        <w:t xml:space="preserve"> </w:t>
      </w:r>
      <w:r w:rsidRPr="00E06F8B">
        <w:t>Science</w:t>
      </w:r>
      <w:r w:rsidR="000E4CF5">
        <w:t xml:space="preserve"> </w:t>
      </w:r>
      <w:r w:rsidRPr="00E06F8B">
        <w:t>Study</w:t>
      </w:r>
      <w:r w:rsidR="000E4CF5">
        <w:t xml:space="preserve"> </w:t>
      </w:r>
      <w:r w:rsidRPr="00E06F8B">
        <w:t>at</w:t>
      </w:r>
      <w:r w:rsidR="000E4CF5">
        <w:t xml:space="preserve"> </w:t>
      </w:r>
      <w:r w:rsidRPr="00E06F8B">
        <w:t>the</w:t>
      </w:r>
      <w:r w:rsidR="000E4CF5">
        <w:t xml:space="preserve"> </w:t>
      </w:r>
      <w:r w:rsidRPr="00E06F8B">
        <w:t>fourth</w:t>
      </w:r>
      <w:r w:rsidR="000E4CF5">
        <w:t xml:space="preserve"> </w:t>
      </w:r>
      <w:r w:rsidRPr="00E06F8B">
        <w:t>and</w:t>
      </w:r>
      <w:r w:rsidR="000E4CF5">
        <w:t xml:space="preserve"> </w:t>
      </w:r>
      <w:r w:rsidRPr="00E06F8B">
        <w:t>eighth</w:t>
      </w:r>
      <w:r w:rsidR="000E4CF5">
        <w:t xml:space="preserve"> </w:t>
      </w:r>
      <w:r w:rsidRPr="00E06F8B">
        <w:t>grades.</w:t>
      </w:r>
      <w:r w:rsidR="000E4CF5">
        <w:t xml:space="preserve"> </w:t>
      </w:r>
      <w:r w:rsidRPr="00E06F8B">
        <w:rPr>
          <w:rFonts w:cs="Verdana"/>
        </w:rPr>
        <w:t>Chestnut</w:t>
      </w:r>
      <w:r w:rsidR="000E4CF5">
        <w:rPr>
          <w:rFonts w:cs="Verdana"/>
        </w:rPr>
        <w:t xml:space="preserve"> </w:t>
      </w:r>
      <w:r w:rsidRPr="00E06F8B">
        <w:rPr>
          <w:rFonts w:cs="Verdana"/>
        </w:rPr>
        <w:t>Hill,</w:t>
      </w:r>
      <w:r w:rsidR="000E4CF5">
        <w:rPr>
          <w:rFonts w:cs="Verdana"/>
        </w:rPr>
        <w:t xml:space="preserve"> </w:t>
      </w:r>
      <w:r w:rsidRPr="00E06F8B">
        <w:rPr>
          <w:rFonts w:cs="Verdana"/>
        </w:rPr>
        <w:t>MA:</w:t>
      </w:r>
      <w:r w:rsidR="000E4CF5">
        <w:rPr>
          <w:rFonts w:cs="Verdana"/>
        </w:rPr>
        <w:t xml:space="preserve"> </w:t>
      </w:r>
      <w:r w:rsidRPr="00E06F8B">
        <w:rPr>
          <w:rFonts w:cs="Verdana"/>
        </w:rPr>
        <w:t>TIMSS</w:t>
      </w:r>
      <w:r w:rsidR="000E4CF5">
        <w:rPr>
          <w:rFonts w:cs="Verdana"/>
        </w:rPr>
        <w:t xml:space="preserve"> </w:t>
      </w:r>
      <w:r w:rsidRPr="00E06F8B">
        <w:rPr>
          <w:rFonts w:cs="Verdana"/>
        </w:rPr>
        <w:t>&amp;</w:t>
      </w:r>
      <w:r w:rsidR="000E4CF5">
        <w:rPr>
          <w:rFonts w:cs="Verdana"/>
        </w:rPr>
        <w:t xml:space="preserve"> </w:t>
      </w:r>
      <w:r w:rsidRPr="00E06F8B">
        <w:rPr>
          <w:rFonts w:cs="Verdana"/>
        </w:rPr>
        <w:t>PIRLS</w:t>
      </w:r>
      <w:r w:rsidR="000E4CF5">
        <w:rPr>
          <w:rFonts w:cs="Verdana"/>
        </w:rPr>
        <w:t xml:space="preserve"> </w:t>
      </w:r>
      <w:r w:rsidRPr="00E06F8B">
        <w:rPr>
          <w:rFonts w:cs="Verdana"/>
        </w:rPr>
        <w:t>International</w:t>
      </w:r>
      <w:r w:rsidR="000E4CF5">
        <w:rPr>
          <w:rFonts w:cs="Verdana"/>
        </w:rPr>
        <w:t xml:space="preserve"> </w:t>
      </w:r>
      <w:r w:rsidRPr="00E06F8B">
        <w:rPr>
          <w:rFonts w:cs="Verdana"/>
        </w:rPr>
        <w:t>Study</w:t>
      </w:r>
      <w:r w:rsidR="000E4CF5">
        <w:rPr>
          <w:rFonts w:cs="Verdana"/>
        </w:rPr>
        <w:t xml:space="preserve"> </w:t>
      </w:r>
      <w:r w:rsidRPr="00E06F8B">
        <w:rPr>
          <w:rFonts w:cs="Verdana"/>
        </w:rPr>
        <w:t>Center,</w:t>
      </w:r>
      <w:r w:rsidR="000E4CF5">
        <w:rPr>
          <w:rFonts w:cs="Verdana"/>
        </w:rPr>
        <w:t xml:space="preserve"> </w:t>
      </w:r>
      <w:r w:rsidRPr="00E06F8B">
        <w:rPr>
          <w:rFonts w:cs="Verdana"/>
        </w:rPr>
        <w:t>Boston</w:t>
      </w:r>
      <w:r w:rsidR="000E4CF5">
        <w:rPr>
          <w:rFonts w:cs="Verdana"/>
        </w:rPr>
        <w:t xml:space="preserve"> </w:t>
      </w:r>
      <w:r w:rsidRPr="00E06F8B">
        <w:rPr>
          <w:rFonts w:cs="Verdana"/>
        </w:rPr>
        <w:t>College.</w:t>
      </w:r>
    </w:p>
    <w:p w14:paraId="1FE6F41D" w14:textId="77777777" w:rsidR="007D04A1" w:rsidRPr="00E06F8B" w:rsidRDefault="007D04A1" w:rsidP="00B90BA5">
      <w:pPr>
        <w:pStyle w:val="SEI-ReferenceList"/>
        <w:rPr>
          <w:lang w:eastAsia="tr-TR"/>
        </w:rPr>
      </w:pPr>
      <w:proofErr w:type="spellStart"/>
      <w:r w:rsidRPr="00E06F8B">
        <w:rPr>
          <w:lang w:eastAsia="tr-TR"/>
        </w:rPr>
        <w:t>Nunnally</w:t>
      </w:r>
      <w:proofErr w:type="spellEnd"/>
      <w:r w:rsidR="000E4CF5">
        <w:rPr>
          <w:lang w:eastAsia="tr-TR"/>
        </w:rPr>
        <w:t xml:space="preserve"> </w:t>
      </w:r>
      <w:r w:rsidRPr="00E06F8B">
        <w:rPr>
          <w:lang w:eastAsia="tr-TR"/>
        </w:rPr>
        <w:t>J.</w:t>
      </w:r>
      <w:r w:rsidR="000E4CF5">
        <w:rPr>
          <w:lang w:eastAsia="tr-TR"/>
        </w:rPr>
        <w:t xml:space="preserve"> </w:t>
      </w:r>
      <w:r w:rsidRPr="00E06F8B">
        <w:rPr>
          <w:lang w:eastAsia="tr-TR"/>
        </w:rPr>
        <w:t>C.</w:t>
      </w:r>
      <w:r w:rsidR="000E4CF5">
        <w:rPr>
          <w:lang w:eastAsia="tr-TR"/>
        </w:rPr>
        <w:t xml:space="preserve"> </w:t>
      </w:r>
      <w:r w:rsidRPr="00E06F8B">
        <w:rPr>
          <w:lang w:eastAsia="tr-TR"/>
        </w:rPr>
        <w:t>(1967).</w:t>
      </w:r>
      <w:r w:rsidR="000E4CF5">
        <w:rPr>
          <w:lang w:eastAsia="tr-TR"/>
        </w:rPr>
        <w:t xml:space="preserve"> </w:t>
      </w:r>
      <w:r w:rsidRPr="00E06F8B">
        <w:rPr>
          <w:i/>
          <w:lang w:eastAsia="tr-TR"/>
        </w:rPr>
        <w:t>Psychometric</w:t>
      </w:r>
      <w:r w:rsidR="000E4CF5">
        <w:rPr>
          <w:i/>
          <w:lang w:eastAsia="tr-TR"/>
        </w:rPr>
        <w:t xml:space="preserve"> </w:t>
      </w:r>
      <w:r w:rsidRPr="00E06F8B">
        <w:rPr>
          <w:i/>
          <w:lang w:eastAsia="tr-TR"/>
        </w:rPr>
        <w:t>theory</w:t>
      </w:r>
      <w:r w:rsidRPr="00E06F8B">
        <w:rPr>
          <w:lang w:eastAsia="tr-TR"/>
        </w:rPr>
        <w:t>.</w:t>
      </w:r>
      <w:r w:rsidR="000E4CF5">
        <w:rPr>
          <w:lang w:eastAsia="tr-TR"/>
        </w:rPr>
        <w:t xml:space="preserve"> </w:t>
      </w:r>
      <w:r w:rsidRPr="00E06F8B">
        <w:rPr>
          <w:lang w:eastAsia="tr-TR"/>
        </w:rPr>
        <w:t>New</w:t>
      </w:r>
      <w:r w:rsidR="000E4CF5">
        <w:rPr>
          <w:lang w:eastAsia="tr-TR"/>
        </w:rPr>
        <w:t xml:space="preserve"> </w:t>
      </w:r>
      <w:r w:rsidRPr="00E06F8B">
        <w:rPr>
          <w:lang w:eastAsia="tr-TR"/>
        </w:rPr>
        <w:t>York:</w:t>
      </w:r>
      <w:r w:rsidR="000E4CF5">
        <w:rPr>
          <w:lang w:eastAsia="tr-TR"/>
        </w:rPr>
        <w:t xml:space="preserve"> </w:t>
      </w:r>
      <w:r w:rsidRPr="00E06F8B">
        <w:rPr>
          <w:lang w:eastAsia="tr-TR"/>
        </w:rPr>
        <w:t>McGraw-Hill.</w:t>
      </w:r>
    </w:p>
    <w:p w14:paraId="7A2FB0C2" w14:textId="77777777" w:rsidR="007D04A1" w:rsidRPr="00E06F8B" w:rsidRDefault="007D04A1" w:rsidP="00B90BA5">
      <w:pPr>
        <w:pStyle w:val="SEI-ReferenceList"/>
      </w:pPr>
      <w:proofErr w:type="spellStart"/>
      <w:r w:rsidRPr="00E06F8B">
        <w:t>Ogena</w:t>
      </w:r>
      <w:proofErr w:type="spellEnd"/>
      <w:r w:rsidRPr="00E06F8B">
        <w:t>,</w:t>
      </w:r>
      <w:r w:rsidR="000E4CF5">
        <w:t xml:space="preserve"> </w:t>
      </w:r>
      <w:r w:rsidRPr="00E06F8B">
        <w:t>E.</w:t>
      </w:r>
      <w:r w:rsidR="000E4CF5">
        <w:t xml:space="preserve"> </w:t>
      </w:r>
      <w:r w:rsidRPr="00E06F8B">
        <w:t>B.</w:t>
      </w:r>
      <w:r w:rsidR="000E4CF5">
        <w:t xml:space="preserve"> </w:t>
      </w:r>
      <w:r w:rsidRPr="00E06F8B">
        <w:t>(2005).</w:t>
      </w:r>
      <w:r w:rsidR="000E4CF5">
        <w:t xml:space="preserve"> </w:t>
      </w:r>
      <w:r w:rsidRPr="00E06F8B">
        <w:rPr>
          <w:i/>
        </w:rPr>
        <w:t>Science</w:t>
      </w:r>
      <w:r w:rsidR="000E4CF5">
        <w:rPr>
          <w:i/>
        </w:rPr>
        <w:t xml:space="preserve"> </w:t>
      </w:r>
      <w:r w:rsidRPr="00E06F8B">
        <w:rPr>
          <w:i/>
        </w:rPr>
        <w:t>education</w:t>
      </w:r>
      <w:r w:rsidR="000E4CF5">
        <w:rPr>
          <w:i/>
        </w:rPr>
        <w:t xml:space="preserve"> </w:t>
      </w:r>
      <w:r w:rsidRPr="00E06F8B">
        <w:rPr>
          <w:i/>
        </w:rPr>
        <w:t>in</w:t>
      </w:r>
      <w:r w:rsidR="000E4CF5">
        <w:rPr>
          <w:i/>
        </w:rPr>
        <w:t xml:space="preserve"> </w:t>
      </w:r>
      <w:r w:rsidRPr="00E06F8B">
        <w:rPr>
          <w:i/>
        </w:rPr>
        <w:t>the</w:t>
      </w:r>
      <w:r w:rsidR="000E4CF5">
        <w:rPr>
          <w:i/>
        </w:rPr>
        <w:t xml:space="preserve"> </w:t>
      </w:r>
      <w:r w:rsidRPr="00E06F8B">
        <w:rPr>
          <w:i/>
        </w:rPr>
        <w:t>Philippines:</w:t>
      </w:r>
      <w:r w:rsidR="000E4CF5">
        <w:rPr>
          <w:i/>
        </w:rPr>
        <w:t xml:space="preserve"> </w:t>
      </w:r>
      <w:r w:rsidRPr="00E06F8B">
        <w:rPr>
          <w:i/>
        </w:rPr>
        <w:t>Challenges</w:t>
      </w:r>
      <w:r w:rsidR="000E4CF5">
        <w:rPr>
          <w:i/>
        </w:rPr>
        <w:t xml:space="preserve"> </w:t>
      </w:r>
      <w:r w:rsidRPr="00E06F8B">
        <w:rPr>
          <w:i/>
        </w:rPr>
        <w:t>for</w:t>
      </w:r>
      <w:r w:rsidR="000E4CF5">
        <w:rPr>
          <w:i/>
        </w:rPr>
        <w:t xml:space="preserve"> </w:t>
      </w:r>
      <w:r w:rsidRPr="00E06F8B">
        <w:rPr>
          <w:i/>
        </w:rPr>
        <w:t>development.</w:t>
      </w:r>
      <w:r w:rsidR="000E4CF5">
        <w:t xml:space="preserve"> </w:t>
      </w:r>
      <w:proofErr w:type="spellStart"/>
      <w:r w:rsidRPr="00E06F8B">
        <w:t>Taguig</w:t>
      </w:r>
      <w:proofErr w:type="spellEnd"/>
      <w:r w:rsidRPr="00E06F8B">
        <w:t>,</w:t>
      </w:r>
      <w:r w:rsidR="000E4CF5">
        <w:t xml:space="preserve"> </w:t>
      </w:r>
      <w:r w:rsidRPr="00E06F8B">
        <w:t>Philippines:</w:t>
      </w:r>
      <w:r w:rsidR="000E4CF5">
        <w:t xml:space="preserve"> </w:t>
      </w:r>
      <w:r w:rsidRPr="00E06F8B">
        <w:t>Science</w:t>
      </w:r>
      <w:r w:rsidR="000E4CF5">
        <w:t xml:space="preserve"> </w:t>
      </w:r>
      <w:r w:rsidRPr="00E06F8B">
        <w:t>Education</w:t>
      </w:r>
      <w:r w:rsidR="000E4CF5">
        <w:t xml:space="preserve"> </w:t>
      </w:r>
      <w:r w:rsidRPr="00E06F8B">
        <w:t>Institute.</w:t>
      </w:r>
      <w:r w:rsidR="000E4CF5">
        <w:t xml:space="preserve">  </w:t>
      </w:r>
    </w:p>
    <w:p w14:paraId="129CF379" w14:textId="77777777" w:rsidR="007D04A1" w:rsidRPr="00E06F8B" w:rsidRDefault="007D04A1" w:rsidP="00B90BA5">
      <w:pPr>
        <w:pStyle w:val="SEI-ReferenceList"/>
        <w:rPr>
          <w:rFonts w:cs="Verdana"/>
        </w:rPr>
      </w:pPr>
      <w:proofErr w:type="spellStart"/>
      <w:proofErr w:type="gramStart"/>
      <w:r w:rsidRPr="00E06F8B">
        <w:t>Pajares</w:t>
      </w:r>
      <w:proofErr w:type="spellEnd"/>
      <w:r w:rsidRPr="00E06F8B">
        <w:t>,</w:t>
      </w:r>
      <w:r w:rsidR="000E4CF5">
        <w:t xml:space="preserve"> </w:t>
      </w:r>
      <w:r w:rsidRPr="00E06F8B">
        <w:t>M.</w:t>
      </w:r>
      <w:r w:rsidR="000E4CF5">
        <w:t xml:space="preserve"> </w:t>
      </w:r>
      <w:r w:rsidRPr="00E06F8B">
        <w:t>F.</w:t>
      </w:r>
      <w:r w:rsidR="000E4CF5">
        <w:t xml:space="preserve"> </w:t>
      </w:r>
      <w:r w:rsidRPr="00E06F8B">
        <w:t>(1992).</w:t>
      </w:r>
      <w:proofErr w:type="gramEnd"/>
      <w:r w:rsidR="000E4CF5">
        <w:t xml:space="preserve"> </w:t>
      </w:r>
      <w:r w:rsidRPr="00E06F8B">
        <w:t>Teacher's</w:t>
      </w:r>
      <w:r w:rsidR="000E4CF5">
        <w:t xml:space="preserve"> </w:t>
      </w:r>
      <w:r w:rsidRPr="00E06F8B">
        <w:t>beliefs</w:t>
      </w:r>
      <w:r w:rsidR="000E4CF5">
        <w:t xml:space="preserve"> </w:t>
      </w:r>
      <w:r w:rsidRPr="00E06F8B">
        <w:t>and</w:t>
      </w:r>
      <w:r w:rsidR="000E4CF5">
        <w:t xml:space="preserve"> </w:t>
      </w:r>
      <w:r w:rsidRPr="00E06F8B">
        <w:t>educational</w:t>
      </w:r>
      <w:r w:rsidR="000E4CF5">
        <w:t xml:space="preserve"> </w:t>
      </w:r>
      <w:r w:rsidRPr="00E06F8B">
        <w:t>research:</w:t>
      </w:r>
      <w:r w:rsidR="000E4CF5">
        <w:t xml:space="preserve"> </w:t>
      </w:r>
      <w:r w:rsidRPr="00E06F8B">
        <w:t>Clea</w:t>
      </w:r>
      <w:r w:rsidRPr="00E06F8B">
        <w:t>n</w:t>
      </w:r>
      <w:r w:rsidRPr="00E06F8B">
        <w:t>ing</w:t>
      </w:r>
      <w:r w:rsidR="000E4CF5">
        <w:t xml:space="preserve"> </w:t>
      </w:r>
      <w:r w:rsidRPr="00E06F8B">
        <w:t>up</w:t>
      </w:r>
      <w:r w:rsidR="000E4CF5">
        <w:t xml:space="preserve"> </w:t>
      </w:r>
      <w:r w:rsidRPr="00E06F8B">
        <w:t>a</w:t>
      </w:r>
      <w:r w:rsidR="000E4CF5">
        <w:t xml:space="preserve"> </w:t>
      </w:r>
      <w:r w:rsidRPr="00E06F8B">
        <w:t>messy</w:t>
      </w:r>
      <w:r w:rsidR="000E4CF5">
        <w:t xml:space="preserve"> </w:t>
      </w:r>
      <w:r w:rsidRPr="00E06F8B">
        <w:t>construct.</w:t>
      </w:r>
      <w:r w:rsidR="000E4CF5">
        <w:t xml:space="preserve"> </w:t>
      </w:r>
      <w:proofErr w:type="gramStart"/>
      <w:r w:rsidRPr="00E06F8B">
        <w:rPr>
          <w:i/>
          <w:iCs/>
        </w:rPr>
        <w:t>Review</w:t>
      </w:r>
      <w:r w:rsidR="000E4CF5">
        <w:rPr>
          <w:i/>
          <w:iCs/>
        </w:rPr>
        <w:t xml:space="preserve"> </w:t>
      </w:r>
      <w:r w:rsidRPr="00E06F8B">
        <w:rPr>
          <w:i/>
          <w:iCs/>
        </w:rPr>
        <w:t>of</w:t>
      </w:r>
      <w:r w:rsidR="000E4CF5">
        <w:rPr>
          <w:i/>
          <w:iCs/>
        </w:rPr>
        <w:t xml:space="preserve"> </w:t>
      </w:r>
      <w:r w:rsidRPr="00E06F8B">
        <w:rPr>
          <w:i/>
          <w:iCs/>
        </w:rPr>
        <w:t>Educational</w:t>
      </w:r>
      <w:r w:rsidR="000E4CF5">
        <w:rPr>
          <w:i/>
          <w:iCs/>
        </w:rPr>
        <w:t xml:space="preserve"> </w:t>
      </w:r>
      <w:r w:rsidRPr="00E06F8B">
        <w:rPr>
          <w:i/>
          <w:iCs/>
        </w:rPr>
        <w:t>Research,</w:t>
      </w:r>
      <w:r w:rsidR="000E4CF5">
        <w:rPr>
          <w:i/>
          <w:iCs/>
        </w:rPr>
        <w:t xml:space="preserve"> </w:t>
      </w:r>
      <w:r w:rsidRPr="00E06F8B">
        <w:rPr>
          <w:i/>
          <w:iCs/>
        </w:rPr>
        <w:t>62</w:t>
      </w:r>
      <w:r w:rsidRPr="00E06F8B">
        <w:t>(3),</w:t>
      </w:r>
      <w:r w:rsidR="000E4CF5">
        <w:t xml:space="preserve"> </w:t>
      </w:r>
      <w:r w:rsidRPr="00E06F8B">
        <w:t>307-332.</w:t>
      </w:r>
      <w:proofErr w:type="gramEnd"/>
    </w:p>
    <w:p w14:paraId="2A351923" w14:textId="77777777" w:rsidR="007D04A1" w:rsidRPr="00E06F8B" w:rsidRDefault="007D04A1" w:rsidP="00B90BA5">
      <w:pPr>
        <w:pStyle w:val="SEI-ReferenceList"/>
      </w:pPr>
      <w:proofErr w:type="gramStart"/>
      <w:r w:rsidRPr="00E06F8B">
        <w:t>Park,</w:t>
      </w:r>
      <w:r w:rsidR="000E4CF5">
        <w:t xml:space="preserve"> </w:t>
      </w:r>
      <w:r w:rsidRPr="00E06F8B">
        <w:t>S.,</w:t>
      </w:r>
      <w:r w:rsidR="000E4CF5">
        <w:t xml:space="preserve"> </w:t>
      </w:r>
      <w:r w:rsidRPr="00E06F8B">
        <w:t>&amp;</w:t>
      </w:r>
      <w:r w:rsidR="000E4CF5">
        <w:t xml:space="preserve"> </w:t>
      </w:r>
      <w:r w:rsidRPr="00E06F8B">
        <w:t>Oliver,</w:t>
      </w:r>
      <w:r w:rsidR="000E4CF5">
        <w:t xml:space="preserve"> </w:t>
      </w:r>
      <w:r w:rsidRPr="00E06F8B">
        <w:t>J.</w:t>
      </w:r>
      <w:r w:rsidR="000E4CF5">
        <w:t xml:space="preserve"> </w:t>
      </w:r>
      <w:r w:rsidRPr="00E06F8B">
        <w:t>S.</w:t>
      </w:r>
      <w:r w:rsidR="000E4CF5">
        <w:t xml:space="preserve"> </w:t>
      </w:r>
      <w:r w:rsidRPr="00E06F8B">
        <w:t>(2008).</w:t>
      </w:r>
      <w:proofErr w:type="gramEnd"/>
      <w:r w:rsidR="000E4CF5">
        <w:t xml:space="preserve"> </w:t>
      </w:r>
      <w:r w:rsidRPr="00E06F8B">
        <w:t>Revisiting</w:t>
      </w:r>
      <w:r w:rsidR="000E4CF5">
        <w:t xml:space="preserve"> </w:t>
      </w:r>
      <w:r w:rsidRPr="00E06F8B">
        <w:t>the</w:t>
      </w:r>
      <w:r w:rsidR="000E4CF5">
        <w:t xml:space="preserve"> </w:t>
      </w:r>
      <w:proofErr w:type="spellStart"/>
      <w:r w:rsidRPr="00E06F8B">
        <w:t>conceptuali</w:t>
      </w:r>
      <w:r w:rsidR="000D0219">
        <w:t>s</w:t>
      </w:r>
      <w:r w:rsidRPr="00E06F8B">
        <w:t>ation</w:t>
      </w:r>
      <w:proofErr w:type="spellEnd"/>
      <w:r w:rsidR="000E4CF5">
        <w:t xml:space="preserve"> </w:t>
      </w:r>
      <w:r w:rsidRPr="00E06F8B">
        <w:t>of</w:t>
      </w:r>
      <w:r w:rsidR="000E4CF5">
        <w:t xml:space="preserve"> </w:t>
      </w:r>
      <w:r w:rsidRPr="00E06F8B">
        <w:t>ped</w:t>
      </w:r>
      <w:r w:rsidRPr="00E06F8B">
        <w:t>a</w:t>
      </w:r>
      <w:r w:rsidRPr="00E06F8B">
        <w:t>gogical</w:t>
      </w:r>
      <w:r w:rsidR="000E4CF5">
        <w:t xml:space="preserve"> </w:t>
      </w:r>
      <w:r w:rsidRPr="00E06F8B">
        <w:t>content</w:t>
      </w:r>
      <w:r w:rsidR="000E4CF5">
        <w:t xml:space="preserve"> </w:t>
      </w:r>
      <w:r w:rsidRPr="00E06F8B">
        <w:t>knowledge</w:t>
      </w:r>
      <w:r w:rsidR="000E4CF5">
        <w:t xml:space="preserve"> </w:t>
      </w:r>
      <w:r w:rsidRPr="00E06F8B">
        <w:t>(PCK):</w:t>
      </w:r>
      <w:r w:rsidR="000E4CF5">
        <w:t xml:space="preserve"> </w:t>
      </w:r>
      <w:r w:rsidRPr="00E06F8B">
        <w:t>PCK</w:t>
      </w:r>
      <w:r w:rsidR="000E4CF5">
        <w:t xml:space="preserve"> </w:t>
      </w:r>
      <w:r w:rsidRPr="00E06F8B">
        <w:t>as</w:t>
      </w:r>
      <w:r w:rsidR="000E4CF5">
        <w:t xml:space="preserve"> </w:t>
      </w:r>
      <w:r w:rsidRPr="00E06F8B">
        <w:t>a</w:t>
      </w:r>
      <w:r w:rsidR="000E4CF5">
        <w:t xml:space="preserve"> </w:t>
      </w:r>
      <w:r w:rsidRPr="00E06F8B">
        <w:t>conceptual</w:t>
      </w:r>
      <w:r w:rsidR="000E4CF5">
        <w:t xml:space="preserve"> </w:t>
      </w:r>
      <w:r w:rsidRPr="00E06F8B">
        <w:t>tool</w:t>
      </w:r>
      <w:r w:rsidR="000E4CF5">
        <w:t xml:space="preserve"> </w:t>
      </w:r>
      <w:r w:rsidRPr="00E06F8B">
        <w:t>to</w:t>
      </w:r>
      <w:r w:rsidR="000E4CF5">
        <w:t xml:space="preserve"> </w:t>
      </w:r>
      <w:r w:rsidRPr="00E06F8B">
        <w:t>u</w:t>
      </w:r>
      <w:r w:rsidRPr="00E06F8B">
        <w:t>n</w:t>
      </w:r>
      <w:r w:rsidRPr="00E06F8B">
        <w:t>derstand</w:t>
      </w:r>
      <w:r w:rsidR="000E4CF5">
        <w:t xml:space="preserve"> </w:t>
      </w:r>
      <w:r w:rsidRPr="00E06F8B">
        <w:t>teachers</w:t>
      </w:r>
      <w:r w:rsidR="000E4CF5">
        <w:t xml:space="preserve"> </w:t>
      </w:r>
      <w:r w:rsidRPr="00E06F8B">
        <w:t>as</w:t>
      </w:r>
      <w:r w:rsidR="000E4CF5">
        <w:t xml:space="preserve"> </w:t>
      </w:r>
      <w:r w:rsidRPr="00E06F8B">
        <w:t>professional.</w:t>
      </w:r>
      <w:r w:rsidR="000E4CF5">
        <w:t xml:space="preserve"> </w:t>
      </w:r>
      <w:proofErr w:type="gramStart"/>
      <w:r w:rsidRPr="00E06F8B">
        <w:rPr>
          <w:i/>
        </w:rPr>
        <w:t>Research</w:t>
      </w:r>
      <w:r w:rsidR="000E4CF5">
        <w:rPr>
          <w:i/>
        </w:rPr>
        <w:t xml:space="preserve"> </w:t>
      </w:r>
      <w:r w:rsidRPr="00E06F8B">
        <w:rPr>
          <w:i/>
        </w:rPr>
        <w:t>in</w:t>
      </w:r>
      <w:r w:rsidR="000E4CF5">
        <w:rPr>
          <w:i/>
        </w:rPr>
        <w:t xml:space="preserve"> </w:t>
      </w:r>
      <w:r w:rsidRPr="00E06F8B">
        <w:rPr>
          <w:i/>
        </w:rPr>
        <w:t>Science</w:t>
      </w:r>
      <w:r w:rsidR="000E4CF5">
        <w:rPr>
          <w:i/>
        </w:rPr>
        <w:t xml:space="preserve"> </w:t>
      </w:r>
      <w:r w:rsidRPr="00E06F8B">
        <w:rPr>
          <w:i/>
        </w:rPr>
        <w:t>Education,</w:t>
      </w:r>
      <w:r w:rsidR="000E4CF5">
        <w:rPr>
          <w:i/>
        </w:rPr>
        <w:t xml:space="preserve"> </w:t>
      </w:r>
      <w:r w:rsidRPr="00E06F8B">
        <w:rPr>
          <w:i/>
        </w:rPr>
        <w:t>38</w:t>
      </w:r>
      <w:r w:rsidR="000D0219">
        <w:t>(3)</w:t>
      </w:r>
      <w:r w:rsidRPr="00E06F8B">
        <w:t>,</w:t>
      </w:r>
      <w:r w:rsidR="000E4CF5">
        <w:t xml:space="preserve"> </w:t>
      </w:r>
      <w:r w:rsidRPr="00E06F8B">
        <w:t>261-284.</w:t>
      </w:r>
      <w:proofErr w:type="gramEnd"/>
    </w:p>
    <w:p w14:paraId="521225B0" w14:textId="77777777" w:rsidR="007D04A1" w:rsidRPr="00E06F8B" w:rsidRDefault="007D04A1" w:rsidP="00B90BA5">
      <w:pPr>
        <w:pStyle w:val="SEI-ReferenceList"/>
      </w:pPr>
      <w:r w:rsidRPr="00E06F8B">
        <w:t>Rice,</w:t>
      </w:r>
      <w:r w:rsidR="000E4CF5">
        <w:t xml:space="preserve"> </w:t>
      </w:r>
      <w:r w:rsidRPr="00E06F8B">
        <w:t>J.</w:t>
      </w:r>
      <w:r w:rsidR="000E4CF5">
        <w:t xml:space="preserve"> </w:t>
      </w:r>
      <w:r w:rsidRPr="00E06F8B">
        <w:t>K.</w:t>
      </w:r>
      <w:r w:rsidR="000E4CF5">
        <w:t xml:space="preserve"> </w:t>
      </w:r>
      <w:r w:rsidRPr="00E06F8B">
        <w:t>(2003).</w:t>
      </w:r>
      <w:r w:rsidR="000E4CF5">
        <w:t xml:space="preserve"> </w:t>
      </w:r>
      <w:r w:rsidRPr="00E06F8B">
        <w:t>Teacher</w:t>
      </w:r>
      <w:r w:rsidR="000E4CF5">
        <w:t xml:space="preserve"> </w:t>
      </w:r>
      <w:r w:rsidRPr="00E06F8B">
        <w:t>quality:</w:t>
      </w:r>
      <w:r w:rsidR="000E4CF5">
        <w:t xml:space="preserve"> </w:t>
      </w:r>
      <w:r w:rsidRPr="00E06F8B">
        <w:t>Understanding</w:t>
      </w:r>
      <w:r w:rsidR="000E4CF5">
        <w:t xml:space="preserve"> </w:t>
      </w:r>
      <w:r w:rsidRPr="00E06F8B">
        <w:t>the</w:t>
      </w:r>
      <w:r w:rsidR="000E4CF5">
        <w:t xml:space="preserve"> </w:t>
      </w:r>
      <w:r w:rsidRPr="00E06F8B">
        <w:t>effectiveness</w:t>
      </w:r>
      <w:r w:rsidR="000E4CF5">
        <w:t xml:space="preserve"> </w:t>
      </w:r>
      <w:r w:rsidRPr="00E06F8B">
        <w:t>of</w:t>
      </w:r>
      <w:r w:rsidR="000E4CF5">
        <w:t xml:space="preserve"> </w:t>
      </w:r>
      <w:r w:rsidRPr="00E06F8B">
        <w:t>teacher</w:t>
      </w:r>
      <w:r w:rsidR="000E4CF5">
        <w:t xml:space="preserve"> </w:t>
      </w:r>
      <w:r w:rsidRPr="00E06F8B">
        <w:t>attributes.</w:t>
      </w:r>
      <w:r w:rsidR="000E4CF5">
        <w:t xml:space="preserve"> </w:t>
      </w:r>
      <w:r w:rsidRPr="00E06F8B">
        <w:t>Washington,</w:t>
      </w:r>
      <w:r w:rsidR="000E4CF5">
        <w:t xml:space="preserve"> </w:t>
      </w:r>
      <w:r w:rsidRPr="00E06F8B">
        <w:t>DC:</w:t>
      </w:r>
      <w:r w:rsidR="000E4CF5">
        <w:t xml:space="preserve"> </w:t>
      </w:r>
      <w:r w:rsidRPr="00E06F8B">
        <w:t>Economic</w:t>
      </w:r>
      <w:r w:rsidR="000E4CF5">
        <w:t xml:space="preserve"> </w:t>
      </w:r>
      <w:r w:rsidRPr="00E06F8B">
        <w:t>Policy</w:t>
      </w:r>
      <w:r w:rsidR="000E4CF5">
        <w:t xml:space="preserve"> </w:t>
      </w:r>
      <w:r w:rsidRPr="00E06F8B">
        <w:t>Institute.</w:t>
      </w:r>
    </w:p>
    <w:p w14:paraId="1D3C9FD7" w14:textId="77777777" w:rsidR="007D04A1" w:rsidRPr="00E06F8B" w:rsidRDefault="007D04A1" w:rsidP="00B90BA5">
      <w:pPr>
        <w:pStyle w:val="SEI-ReferenceList"/>
      </w:pPr>
      <w:r w:rsidRPr="00E06F8B">
        <w:t>Richie,</w:t>
      </w:r>
      <w:r w:rsidR="000E4CF5">
        <w:t xml:space="preserve"> </w:t>
      </w:r>
      <w:r w:rsidRPr="00E06F8B">
        <w:t>S.</w:t>
      </w:r>
      <w:r w:rsidR="000E4CF5">
        <w:t xml:space="preserve"> </w:t>
      </w:r>
      <w:r w:rsidRPr="00E06F8B">
        <w:t>M.,</w:t>
      </w:r>
      <w:r w:rsidR="000E4CF5">
        <w:t xml:space="preserve"> </w:t>
      </w:r>
      <w:r w:rsidRPr="00E06F8B">
        <w:t>Tobin,</w:t>
      </w:r>
      <w:r w:rsidR="000E4CF5">
        <w:t xml:space="preserve"> </w:t>
      </w:r>
      <w:r w:rsidRPr="00E06F8B">
        <w:t>K.,</w:t>
      </w:r>
      <w:r w:rsidR="000E4CF5">
        <w:t xml:space="preserve"> </w:t>
      </w:r>
      <w:r w:rsidRPr="00E06F8B">
        <w:t>&amp;</w:t>
      </w:r>
      <w:r w:rsidR="000E4CF5">
        <w:t xml:space="preserve"> </w:t>
      </w:r>
      <w:r w:rsidRPr="00E06F8B">
        <w:t>Hook,</w:t>
      </w:r>
      <w:r w:rsidR="000E4CF5">
        <w:t xml:space="preserve"> </w:t>
      </w:r>
      <w:r w:rsidRPr="00E06F8B">
        <w:t>K.</w:t>
      </w:r>
      <w:r w:rsidR="000E4CF5">
        <w:t xml:space="preserve"> </w:t>
      </w:r>
      <w:r w:rsidRPr="00E06F8B">
        <w:t>S.</w:t>
      </w:r>
      <w:r w:rsidR="000E4CF5">
        <w:t xml:space="preserve"> </w:t>
      </w:r>
      <w:r w:rsidRPr="00E06F8B">
        <w:t>(1997).</w:t>
      </w:r>
      <w:r w:rsidR="000E4CF5">
        <w:t xml:space="preserve"> </w:t>
      </w:r>
      <w:proofErr w:type="gramStart"/>
      <w:r w:rsidRPr="00E06F8B">
        <w:t>Viability</w:t>
      </w:r>
      <w:r w:rsidR="000E4CF5">
        <w:t xml:space="preserve"> </w:t>
      </w:r>
      <w:r w:rsidRPr="00E06F8B">
        <w:t>of</w:t>
      </w:r>
      <w:r w:rsidR="000E4CF5">
        <w:t xml:space="preserve"> </w:t>
      </w:r>
      <w:r w:rsidRPr="00E06F8B">
        <w:t>mental</w:t>
      </w:r>
      <w:r w:rsidR="000E4CF5">
        <w:t xml:space="preserve"> </w:t>
      </w:r>
      <w:r w:rsidRPr="00E06F8B">
        <w:t>model</w:t>
      </w:r>
      <w:r w:rsidR="000E4CF5">
        <w:t xml:space="preserve"> </w:t>
      </w:r>
      <w:r w:rsidRPr="00E06F8B">
        <w:t>in</w:t>
      </w:r>
      <w:r w:rsidR="000E4CF5">
        <w:t xml:space="preserve"> </w:t>
      </w:r>
      <w:r w:rsidRPr="00E06F8B">
        <w:t>learning</w:t>
      </w:r>
      <w:r w:rsidR="000E4CF5">
        <w:t xml:space="preserve"> </w:t>
      </w:r>
      <w:r w:rsidRPr="00E06F8B">
        <w:t>chemistry.</w:t>
      </w:r>
      <w:proofErr w:type="gramEnd"/>
      <w:r w:rsidR="000E4CF5">
        <w:t xml:space="preserve"> </w:t>
      </w:r>
      <w:proofErr w:type="gramStart"/>
      <w:r w:rsidRPr="00E06F8B">
        <w:rPr>
          <w:i/>
        </w:rPr>
        <w:t>Journal</w:t>
      </w:r>
      <w:r w:rsidR="000E4CF5">
        <w:rPr>
          <w:i/>
        </w:rPr>
        <w:t xml:space="preserve"> </w:t>
      </w:r>
      <w:r w:rsidRPr="00E06F8B">
        <w:rPr>
          <w:i/>
        </w:rPr>
        <w:t>of</w:t>
      </w:r>
      <w:r w:rsidR="000E4CF5">
        <w:rPr>
          <w:i/>
        </w:rPr>
        <w:t xml:space="preserve"> </w:t>
      </w:r>
      <w:r w:rsidRPr="00E06F8B">
        <w:rPr>
          <w:i/>
        </w:rPr>
        <w:t>Research</w:t>
      </w:r>
      <w:r w:rsidR="000E4CF5">
        <w:rPr>
          <w:i/>
        </w:rPr>
        <w:t xml:space="preserve"> </w:t>
      </w:r>
      <w:r w:rsidRPr="00E06F8B">
        <w:rPr>
          <w:i/>
        </w:rPr>
        <w:t>in</w:t>
      </w:r>
      <w:r w:rsidR="000E4CF5">
        <w:rPr>
          <w:i/>
        </w:rPr>
        <w:t xml:space="preserve"> </w:t>
      </w:r>
      <w:r w:rsidRPr="00E06F8B">
        <w:rPr>
          <w:i/>
        </w:rPr>
        <w:t>Science</w:t>
      </w:r>
      <w:r w:rsidR="000E4CF5">
        <w:rPr>
          <w:i/>
        </w:rPr>
        <w:t xml:space="preserve"> </w:t>
      </w:r>
      <w:r w:rsidRPr="00E06F8B">
        <w:rPr>
          <w:i/>
        </w:rPr>
        <w:t>Teaching,</w:t>
      </w:r>
      <w:r w:rsidR="000E4CF5">
        <w:rPr>
          <w:i/>
        </w:rPr>
        <w:t xml:space="preserve"> </w:t>
      </w:r>
      <w:r w:rsidRPr="00E06F8B">
        <w:rPr>
          <w:i/>
        </w:rPr>
        <w:t>34</w:t>
      </w:r>
      <w:r w:rsidR="000D0219">
        <w:t>(2)</w:t>
      </w:r>
      <w:r w:rsidRPr="00E06F8B">
        <w:t>,</w:t>
      </w:r>
      <w:r w:rsidR="000E4CF5">
        <w:t xml:space="preserve"> </w:t>
      </w:r>
      <w:r w:rsidRPr="00E06F8B">
        <w:t>223-238.</w:t>
      </w:r>
      <w:proofErr w:type="gramEnd"/>
    </w:p>
    <w:p w14:paraId="39CCB8D9" w14:textId="77777777" w:rsidR="007D04A1" w:rsidRPr="00E06F8B" w:rsidRDefault="007D04A1" w:rsidP="00B90BA5">
      <w:pPr>
        <w:pStyle w:val="SEI-ReferenceList"/>
      </w:pPr>
      <w:r w:rsidRPr="00E06F8B">
        <w:t>Stevenson,</w:t>
      </w:r>
      <w:r w:rsidR="000E4CF5">
        <w:t xml:space="preserve"> </w:t>
      </w:r>
      <w:r w:rsidRPr="00E06F8B">
        <w:t>H.,</w:t>
      </w:r>
      <w:r w:rsidR="000E4CF5">
        <w:t xml:space="preserve"> </w:t>
      </w:r>
      <w:r w:rsidRPr="00E06F8B">
        <w:t>&amp;</w:t>
      </w:r>
      <w:r w:rsidR="000E4CF5">
        <w:t xml:space="preserve"> </w:t>
      </w:r>
      <w:r w:rsidRPr="00E06F8B">
        <w:t>Stigler,</w:t>
      </w:r>
      <w:r w:rsidR="000E4CF5">
        <w:t xml:space="preserve"> </w:t>
      </w:r>
      <w:r w:rsidRPr="00E06F8B">
        <w:t>J.</w:t>
      </w:r>
      <w:r w:rsidR="000E4CF5">
        <w:t xml:space="preserve"> </w:t>
      </w:r>
      <w:r w:rsidRPr="00E06F8B">
        <w:t>(1992).</w:t>
      </w:r>
      <w:r w:rsidR="000E4CF5">
        <w:t xml:space="preserve"> </w:t>
      </w:r>
      <w:r w:rsidRPr="00E06F8B">
        <w:t>The</w:t>
      </w:r>
      <w:r w:rsidR="000E4CF5">
        <w:t xml:space="preserve"> </w:t>
      </w:r>
      <w:r w:rsidRPr="00E06F8B">
        <w:t>learning</w:t>
      </w:r>
      <w:r w:rsidR="000E4CF5">
        <w:t xml:space="preserve"> </w:t>
      </w:r>
      <w:r w:rsidRPr="00E06F8B">
        <w:t>gap:</w:t>
      </w:r>
      <w:r w:rsidR="000E4CF5">
        <w:t xml:space="preserve"> </w:t>
      </w:r>
      <w:r w:rsidRPr="00E06F8B">
        <w:t>Why</w:t>
      </w:r>
      <w:r w:rsidR="000E4CF5">
        <w:t xml:space="preserve"> </w:t>
      </w:r>
      <w:r w:rsidRPr="00E06F8B">
        <w:t>our</w:t>
      </w:r>
      <w:r w:rsidR="000E4CF5">
        <w:t xml:space="preserve"> </w:t>
      </w:r>
      <w:r w:rsidRPr="00E06F8B">
        <w:t>schools</w:t>
      </w:r>
      <w:r w:rsidR="000E4CF5">
        <w:t xml:space="preserve"> </w:t>
      </w:r>
      <w:r w:rsidRPr="00E06F8B">
        <w:t>are</w:t>
      </w:r>
      <w:r w:rsidR="000E4CF5">
        <w:t xml:space="preserve"> </w:t>
      </w:r>
      <w:r w:rsidRPr="00E06F8B">
        <w:t>failing</w:t>
      </w:r>
      <w:r w:rsidR="000E4CF5">
        <w:t xml:space="preserve"> </w:t>
      </w:r>
      <w:r w:rsidRPr="00E06F8B">
        <w:t>and</w:t>
      </w:r>
      <w:r w:rsidR="000E4CF5">
        <w:t xml:space="preserve"> </w:t>
      </w:r>
      <w:r w:rsidRPr="00E06F8B">
        <w:t>what</w:t>
      </w:r>
      <w:r w:rsidR="000E4CF5">
        <w:t xml:space="preserve"> </w:t>
      </w:r>
      <w:r w:rsidRPr="00E06F8B">
        <w:t>we</w:t>
      </w:r>
      <w:r w:rsidR="000E4CF5">
        <w:t xml:space="preserve"> </w:t>
      </w:r>
      <w:r w:rsidRPr="00E06F8B">
        <w:t>can</w:t>
      </w:r>
      <w:r w:rsidR="000E4CF5">
        <w:t xml:space="preserve"> </w:t>
      </w:r>
      <w:r w:rsidRPr="00E06F8B">
        <w:t>learn</w:t>
      </w:r>
      <w:r w:rsidR="000E4CF5">
        <w:t xml:space="preserve"> </w:t>
      </w:r>
      <w:r w:rsidRPr="00E06F8B">
        <w:t>from</w:t>
      </w:r>
      <w:r w:rsidR="000E4CF5">
        <w:t xml:space="preserve"> </w:t>
      </w:r>
      <w:r w:rsidRPr="00E06F8B">
        <w:t>Japanese</w:t>
      </w:r>
      <w:r w:rsidR="000E4CF5">
        <w:t xml:space="preserve"> </w:t>
      </w:r>
      <w:r w:rsidRPr="00E06F8B">
        <w:t>and</w:t>
      </w:r>
      <w:r w:rsidR="000E4CF5">
        <w:t xml:space="preserve"> </w:t>
      </w:r>
      <w:r w:rsidRPr="00E06F8B">
        <w:t>Chinese</w:t>
      </w:r>
      <w:r w:rsidR="000E4CF5">
        <w:t xml:space="preserve"> </w:t>
      </w:r>
      <w:r w:rsidRPr="00E06F8B">
        <w:t>education.</w:t>
      </w:r>
      <w:r w:rsidR="000E4CF5">
        <w:t xml:space="preserve"> </w:t>
      </w:r>
      <w:r w:rsidRPr="00E06F8B">
        <w:t>New</w:t>
      </w:r>
      <w:r w:rsidR="000E4CF5">
        <w:t xml:space="preserve"> </w:t>
      </w:r>
      <w:r w:rsidRPr="00E06F8B">
        <w:t>York,</w:t>
      </w:r>
      <w:r w:rsidR="000E4CF5">
        <w:t xml:space="preserve"> </w:t>
      </w:r>
      <w:r w:rsidRPr="00E06F8B">
        <w:t>NY:</w:t>
      </w:r>
      <w:r w:rsidR="000E4CF5">
        <w:t xml:space="preserve"> </w:t>
      </w:r>
      <w:r w:rsidRPr="00E06F8B">
        <w:t>Simon</w:t>
      </w:r>
      <w:r w:rsidR="000E4CF5">
        <w:t xml:space="preserve"> </w:t>
      </w:r>
      <w:r w:rsidRPr="00E06F8B">
        <w:t>&amp;</w:t>
      </w:r>
      <w:r w:rsidR="000E4CF5">
        <w:t xml:space="preserve"> </w:t>
      </w:r>
      <w:r w:rsidRPr="00E06F8B">
        <w:t>Schuster.</w:t>
      </w:r>
      <w:r w:rsidR="000E4CF5">
        <w:t xml:space="preserve"> </w:t>
      </w:r>
    </w:p>
    <w:p w14:paraId="7DDC2A14" w14:textId="77777777" w:rsidR="007D04A1" w:rsidRPr="00E06F8B" w:rsidRDefault="007D04A1" w:rsidP="00B90BA5">
      <w:pPr>
        <w:pStyle w:val="SEI-ReferenceList"/>
      </w:pPr>
      <w:r w:rsidRPr="00E06F8B">
        <w:lastRenderedPageBreak/>
        <w:t>Tsai,</w:t>
      </w:r>
      <w:r w:rsidR="000E4CF5">
        <w:t xml:space="preserve"> </w:t>
      </w:r>
      <w:r w:rsidRPr="00E06F8B">
        <w:t>C.</w:t>
      </w:r>
      <w:r w:rsidR="000E4CF5">
        <w:t xml:space="preserve"> </w:t>
      </w:r>
      <w:r w:rsidRPr="00E06F8B">
        <w:t>(2002).</w:t>
      </w:r>
      <w:r w:rsidR="000E4CF5">
        <w:t xml:space="preserve"> </w:t>
      </w:r>
      <w:r w:rsidRPr="00E06F8B">
        <w:t>Nested</w:t>
      </w:r>
      <w:r w:rsidR="000E4CF5">
        <w:t xml:space="preserve"> </w:t>
      </w:r>
      <w:r w:rsidRPr="00E06F8B">
        <w:t>epistemologies:</w:t>
      </w:r>
      <w:r w:rsidR="000E4CF5">
        <w:t xml:space="preserve"> </w:t>
      </w:r>
      <w:r w:rsidRPr="00E06F8B">
        <w:t>science</w:t>
      </w:r>
      <w:r w:rsidR="000E4CF5">
        <w:t xml:space="preserve"> </w:t>
      </w:r>
      <w:r w:rsidRPr="00E06F8B">
        <w:t>teachers’</w:t>
      </w:r>
      <w:r w:rsidR="000E4CF5">
        <w:t xml:space="preserve"> </w:t>
      </w:r>
      <w:r w:rsidRPr="00E06F8B">
        <w:t>beliefs</w:t>
      </w:r>
      <w:r w:rsidR="000E4CF5">
        <w:t xml:space="preserve"> </w:t>
      </w:r>
      <w:r w:rsidRPr="00E06F8B">
        <w:t>of</w:t>
      </w:r>
      <w:r w:rsidR="000E4CF5">
        <w:t xml:space="preserve"> </w:t>
      </w:r>
      <w:r w:rsidRPr="00E06F8B">
        <w:t>teac</w:t>
      </w:r>
      <w:r w:rsidRPr="00E06F8B">
        <w:t>h</w:t>
      </w:r>
      <w:r w:rsidRPr="00E06F8B">
        <w:t>ing,</w:t>
      </w:r>
      <w:r w:rsidR="000E4CF5">
        <w:t xml:space="preserve"> </w:t>
      </w:r>
      <w:r w:rsidRPr="00E06F8B">
        <w:t>learning</w:t>
      </w:r>
      <w:r w:rsidR="000E4CF5">
        <w:t xml:space="preserve"> </w:t>
      </w:r>
      <w:r w:rsidRPr="00E06F8B">
        <w:t>and</w:t>
      </w:r>
      <w:r w:rsidR="000E4CF5">
        <w:t xml:space="preserve"> </w:t>
      </w:r>
      <w:r w:rsidRPr="00E06F8B">
        <w:t>science.</w:t>
      </w:r>
      <w:r w:rsidR="000E4CF5">
        <w:t xml:space="preserve"> </w:t>
      </w:r>
      <w:proofErr w:type="gramStart"/>
      <w:r w:rsidRPr="00E06F8B">
        <w:rPr>
          <w:i/>
          <w:iCs/>
        </w:rPr>
        <w:t>International</w:t>
      </w:r>
      <w:r w:rsidR="000E4CF5">
        <w:rPr>
          <w:i/>
          <w:iCs/>
        </w:rPr>
        <w:t xml:space="preserve"> </w:t>
      </w:r>
      <w:r w:rsidRPr="00E06F8B">
        <w:rPr>
          <w:i/>
          <w:iCs/>
        </w:rPr>
        <w:t>Journal</w:t>
      </w:r>
      <w:r w:rsidR="000E4CF5">
        <w:rPr>
          <w:i/>
          <w:iCs/>
        </w:rPr>
        <w:t xml:space="preserve"> </w:t>
      </w:r>
      <w:r w:rsidRPr="00E06F8B">
        <w:rPr>
          <w:i/>
          <w:iCs/>
        </w:rPr>
        <w:t>of</w:t>
      </w:r>
      <w:r w:rsidR="000E4CF5">
        <w:rPr>
          <w:i/>
          <w:iCs/>
        </w:rPr>
        <w:t xml:space="preserve"> </w:t>
      </w:r>
      <w:r w:rsidRPr="00E06F8B">
        <w:rPr>
          <w:i/>
          <w:iCs/>
        </w:rPr>
        <w:t>Science</w:t>
      </w:r>
      <w:r w:rsidR="000E4CF5">
        <w:rPr>
          <w:i/>
          <w:iCs/>
        </w:rPr>
        <w:t xml:space="preserve"> </w:t>
      </w:r>
      <w:r w:rsidRPr="00E06F8B">
        <w:rPr>
          <w:i/>
          <w:iCs/>
        </w:rPr>
        <w:t>Educ</w:t>
      </w:r>
      <w:r w:rsidRPr="00E06F8B">
        <w:rPr>
          <w:i/>
          <w:iCs/>
        </w:rPr>
        <w:t>a</w:t>
      </w:r>
      <w:r w:rsidRPr="00E06F8B">
        <w:rPr>
          <w:i/>
          <w:iCs/>
        </w:rPr>
        <w:t>tion,</w:t>
      </w:r>
      <w:r w:rsidR="000E4CF5">
        <w:rPr>
          <w:i/>
          <w:iCs/>
        </w:rPr>
        <w:t xml:space="preserve"> </w:t>
      </w:r>
      <w:r w:rsidRPr="00E06F8B">
        <w:rPr>
          <w:i/>
          <w:iCs/>
        </w:rPr>
        <w:t>24</w:t>
      </w:r>
      <w:r w:rsidRPr="00E06F8B">
        <w:t>(8),</w:t>
      </w:r>
      <w:r w:rsidR="000E4CF5">
        <w:t xml:space="preserve"> </w:t>
      </w:r>
      <w:r w:rsidRPr="00E06F8B">
        <w:t>771-783.</w:t>
      </w:r>
      <w:proofErr w:type="gramEnd"/>
    </w:p>
    <w:p w14:paraId="02474BE3" w14:textId="77777777" w:rsidR="007D04A1" w:rsidRPr="00E06F8B" w:rsidRDefault="007D04A1" w:rsidP="00B90BA5">
      <w:pPr>
        <w:pStyle w:val="SEI-ReferenceList"/>
      </w:pPr>
      <w:r w:rsidRPr="00E06F8B">
        <w:t>Van</w:t>
      </w:r>
      <w:r w:rsidR="000E4CF5">
        <w:t xml:space="preserve"> </w:t>
      </w:r>
      <w:proofErr w:type="spellStart"/>
      <w:r w:rsidRPr="00E06F8B">
        <w:t>Driel</w:t>
      </w:r>
      <w:proofErr w:type="spellEnd"/>
      <w:r w:rsidRPr="00E06F8B">
        <w:t>,</w:t>
      </w:r>
      <w:r w:rsidR="000E4CF5">
        <w:t xml:space="preserve"> </w:t>
      </w:r>
      <w:r w:rsidRPr="00E06F8B">
        <w:t>J.</w:t>
      </w:r>
      <w:r w:rsidR="000E4CF5">
        <w:t xml:space="preserve"> </w:t>
      </w:r>
      <w:r w:rsidRPr="00E06F8B">
        <w:t>H.,</w:t>
      </w:r>
      <w:r w:rsidR="000E4CF5">
        <w:t xml:space="preserve"> </w:t>
      </w:r>
      <w:proofErr w:type="spellStart"/>
      <w:r w:rsidRPr="00E06F8B">
        <w:t>Verloop</w:t>
      </w:r>
      <w:proofErr w:type="spellEnd"/>
      <w:r w:rsidRPr="00E06F8B">
        <w:t>,</w:t>
      </w:r>
      <w:r w:rsidR="000E4CF5">
        <w:t xml:space="preserve"> </w:t>
      </w:r>
      <w:r w:rsidRPr="00E06F8B">
        <w:t>N.,</w:t>
      </w:r>
      <w:r w:rsidR="000E4CF5">
        <w:t xml:space="preserve"> </w:t>
      </w:r>
      <w:r w:rsidRPr="00E06F8B">
        <w:t>&amp;</w:t>
      </w:r>
      <w:r w:rsidR="000E4CF5">
        <w:t xml:space="preserve"> </w:t>
      </w:r>
      <w:r w:rsidRPr="00E06F8B">
        <w:t>De</w:t>
      </w:r>
      <w:r w:rsidR="000E4CF5">
        <w:t xml:space="preserve"> </w:t>
      </w:r>
      <w:proofErr w:type="spellStart"/>
      <w:r w:rsidRPr="00E06F8B">
        <w:t>Vos</w:t>
      </w:r>
      <w:proofErr w:type="spellEnd"/>
      <w:r w:rsidRPr="00E06F8B">
        <w:t>,</w:t>
      </w:r>
      <w:r w:rsidR="000E4CF5">
        <w:t xml:space="preserve"> </w:t>
      </w:r>
      <w:r w:rsidRPr="00E06F8B">
        <w:t>W.</w:t>
      </w:r>
      <w:r w:rsidR="000E4CF5">
        <w:t xml:space="preserve"> </w:t>
      </w:r>
      <w:r w:rsidRPr="00E06F8B">
        <w:t>(1998).</w:t>
      </w:r>
      <w:r w:rsidR="000E4CF5">
        <w:t xml:space="preserve"> </w:t>
      </w:r>
      <w:r w:rsidRPr="00E06F8B">
        <w:t>Developing</w:t>
      </w:r>
      <w:r w:rsidR="000E4CF5">
        <w:t xml:space="preserve"> </w:t>
      </w:r>
      <w:r w:rsidRPr="00E06F8B">
        <w:t>science</w:t>
      </w:r>
      <w:r w:rsidR="000E4CF5">
        <w:t xml:space="preserve"> </w:t>
      </w:r>
      <w:r w:rsidRPr="00E06F8B">
        <w:t>teachers’</w:t>
      </w:r>
      <w:r w:rsidR="000E4CF5">
        <w:t xml:space="preserve"> </w:t>
      </w:r>
      <w:r w:rsidRPr="00E06F8B">
        <w:t>pedagogical</w:t>
      </w:r>
      <w:r w:rsidR="000E4CF5">
        <w:t xml:space="preserve"> </w:t>
      </w:r>
      <w:r w:rsidRPr="00E06F8B">
        <w:t>content</w:t>
      </w:r>
      <w:r w:rsidR="000E4CF5">
        <w:t xml:space="preserve"> </w:t>
      </w:r>
      <w:r w:rsidRPr="00E06F8B">
        <w:t>knowledge.</w:t>
      </w:r>
      <w:r w:rsidR="000E4CF5">
        <w:t xml:space="preserve"> </w:t>
      </w:r>
      <w:r w:rsidRPr="00E06F8B">
        <w:rPr>
          <w:i/>
        </w:rPr>
        <w:t>Journal</w:t>
      </w:r>
      <w:r w:rsidR="000E4CF5">
        <w:rPr>
          <w:i/>
        </w:rPr>
        <w:t xml:space="preserve"> </w:t>
      </w:r>
      <w:r w:rsidRPr="00E06F8B">
        <w:rPr>
          <w:i/>
        </w:rPr>
        <w:t>of</w:t>
      </w:r>
      <w:r w:rsidR="000E4CF5">
        <w:rPr>
          <w:i/>
        </w:rPr>
        <w:t xml:space="preserve"> </w:t>
      </w:r>
      <w:r w:rsidRPr="00E06F8B">
        <w:rPr>
          <w:i/>
        </w:rPr>
        <w:t>Research</w:t>
      </w:r>
      <w:r w:rsidR="000E4CF5">
        <w:rPr>
          <w:i/>
        </w:rPr>
        <w:t xml:space="preserve"> </w:t>
      </w:r>
      <w:r w:rsidRPr="00E06F8B">
        <w:rPr>
          <w:i/>
        </w:rPr>
        <w:t>in</w:t>
      </w:r>
      <w:r w:rsidR="000E4CF5">
        <w:rPr>
          <w:i/>
        </w:rPr>
        <w:t xml:space="preserve"> </w:t>
      </w:r>
      <w:r w:rsidRPr="00E06F8B">
        <w:rPr>
          <w:i/>
        </w:rPr>
        <w:t>Science</w:t>
      </w:r>
      <w:r w:rsidR="000E4CF5">
        <w:rPr>
          <w:i/>
        </w:rPr>
        <w:t xml:space="preserve"> </w:t>
      </w:r>
      <w:r w:rsidRPr="00E06F8B">
        <w:rPr>
          <w:i/>
        </w:rPr>
        <w:t>Teaching,</w:t>
      </w:r>
      <w:r w:rsidR="000E4CF5">
        <w:rPr>
          <w:i/>
        </w:rPr>
        <w:t xml:space="preserve"> </w:t>
      </w:r>
      <w:r w:rsidRPr="00E06F8B">
        <w:rPr>
          <w:i/>
        </w:rPr>
        <w:t>35</w:t>
      </w:r>
      <w:r w:rsidR="000D0219">
        <w:t>(6)</w:t>
      </w:r>
      <w:r w:rsidRPr="00E06F8B">
        <w:t>,</w:t>
      </w:r>
      <w:r w:rsidR="000E4CF5">
        <w:t xml:space="preserve"> </w:t>
      </w:r>
      <w:r w:rsidRPr="00E06F8B">
        <w:t>673–695.</w:t>
      </w:r>
    </w:p>
    <w:p w14:paraId="0436F871" w14:textId="77777777" w:rsidR="007D04A1" w:rsidRPr="00E06F8B" w:rsidRDefault="007D04A1" w:rsidP="00B90BA5">
      <w:pPr>
        <w:pStyle w:val="SEI-ReferenceList"/>
        <w:rPr>
          <w:color w:val="101010"/>
        </w:rPr>
      </w:pPr>
      <w:r w:rsidRPr="00E06F8B">
        <w:t>Wilson,</w:t>
      </w:r>
      <w:r w:rsidR="000E4CF5">
        <w:t xml:space="preserve"> </w:t>
      </w:r>
      <w:r w:rsidRPr="00E06F8B">
        <w:t>S.</w:t>
      </w:r>
      <w:r w:rsidR="000E4CF5">
        <w:t xml:space="preserve"> </w:t>
      </w:r>
      <w:r w:rsidRPr="00E06F8B">
        <w:t>M.,</w:t>
      </w:r>
      <w:r w:rsidR="000E4CF5">
        <w:t xml:space="preserve"> </w:t>
      </w:r>
      <w:r w:rsidRPr="00E06F8B">
        <w:t>Miller,</w:t>
      </w:r>
      <w:r w:rsidR="000E4CF5">
        <w:t xml:space="preserve"> </w:t>
      </w:r>
      <w:r w:rsidRPr="00E06F8B">
        <w:t>C.,</w:t>
      </w:r>
      <w:r w:rsidR="000E4CF5">
        <w:t xml:space="preserve"> </w:t>
      </w:r>
      <w:r w:rsidRPr="00E06F8B">
        <w:t>&amp;</w:t>
      </w:r>
      <w:r w:rsidR="000E4CF5">
        <w:t xml:space="preserve"> </w:t>
      </w:r>
      <w:r w:rsidRPr="00E06F8B">
        <w:t>Yerkes,</w:t>
      </w:r>
      <w:r w:rsidR="000E4CF5">
        <w:t xml:space="preserve"> </w:t>
      </w:r>
      <w:r w:rsidRPr="00E06F8B">
        <w:t>C.</w:t>
      </w:r>
      <w:r w:rsidR="000E4CF5">
        <w:t xml:space="preserve"> </w:t>
      </w:r>
      <w:r w:rsidRPr="00E06F8B">
        <w:t>(1993).</w:t>
      </w:r>
      <w:r w:rsidR="000E4CF5">
        <w:t xml:space="preserve"> </w:t>
      </w:r>
      <w:r w:rsidRPr="00E06F8B">
        <w:t>Deeply</w:t>
      </w:r>
      <w:r w:rsidR="000E4CF5">
        <w:t xml:space="preserve"> </w:t>
      </w:r>
      <w:r w:rsidRPr="00E06F8B">
        <w:t>rooted</w:t>
      </w:r>
      <w:r w:rsidR="000E4CF5">
        <w:t xml:space="preserve"> </w:t>
      </w:r>
      <w:r w:rsidRPr="00E06F8B">
        <w:t>change:</w:t>
      </w:r>
      <w:r w:rsidR="000E4CF5">
        <w:t xml:space="preserve"> </w:t>
      </w:r>
      <w:r w:rsidRPr="00E06F8B">
        <w:t>A</w:t>
      </w:r>
      <w:r w:rsidR="000E4CF5">
        <w:t xml:space="preserve"> </w:t>
      </w:r>
      <w:r w:rsidRPr="00E06F8B">
        <w:t>tale</w:t>
      </w:r>
      <w:r w:rsidR="000E4CF5">
        <w:t xml:space="preserve"> </w:t>
      </w:r>
      <w:r w:rsidRPr="00E06F8B">
        <w:t>of</w:t>
      </w:r>
      <w:r w:rsidR="000E4CF5">
        <w:t xml:space="preserve"> </w:t>
      </w:r>
      <w:r w:rsidRPr="00E06F8B">
        <w:t>learning</w:t>
      </w:r>
      <w:r w:rsidR="000E4CF5">
        <w:t xml:space="preserve"> </w:t>
      </w:r>
      <w:r w:rsidRPr="00E06F8B">
        <w:t>to</w:t>
      </w:r>
      <w:r w:rsidR="000E4CF5">
        <w:t xml:space="preserve"> </w:t>
      </w:r>
      <w:r w:rsidRPr="00E06F8B">
        <w:t>teach</w:t>
      </w:r>
      <w:r w:rsidR="000E4CF5">
        <w:t xml:space="preserve"> </w:t>
      </w:r>
      <w:r w:rsidRPr="00E06F8B">
        <w:t>adventurously.</w:t>
      </w:r>
      <w:r w:rsidR="000E4CF5">
        <w:t xml:space="preserve"> </w:t>
      </w:r>
      <w:r w:rsidRPr="00E06F8B">
        <w:t>In</w:t>
      </w:r>
      <w:r w:rsidR="000E4CF5">
        <w:t xml:space="preserve"> </w:t>
      </w:r>
      <w:r w:rsidRPr="00E06F8B">
        <w:t>D.</w:t>
      </w:r>
      <w:r w:rsidR="000E4CF5">
        <w:t xml:space="preserve"> </w:t>
      </w:r>
      <w:r w:rsidRPr="00E06F8B">
        <w:t>K.</w:t>
      </w:r>
      <w:r w:rsidR="000E4CF5">
        <w:t xml:space="preserve"> </w:t>
      </w:r>
      <w:r w:rsidRPr="00E06F8B">
        <w:t>Cohen,</w:t>
      </w:r>
      <w:r w:rsidR="000E4CF5">
        <w:t xml:space="preserve"> </w:t>
      </w:r>
      <w:r w:rsidRPr="00E06F8B">
        <w:t>M.</w:t>
      </w:r>
      <w:r w:rsidR="000E4CF5">
        <w:t xml:space="preserve"> </w:t>
      </w:r>
      <w:r w:rsidRPr="00E06F8B">
        <w:t>W.</w:t>
      </w:r>
      <w:r w:rsidR="000E4CF5">
        <w:t xml:space="preserve"> </w:t>
      </w:r>
      <w:r w:rsidRPr="00E06F8B">
        <w:t>McLaughlin,</w:t>
      </w:r>
      <w:r w:rsidR="000E4CF5">
        <w:t xml:space="preserve"> </w:t>
      </w:r>
      <w:r w:rsidRPr="00E06F8B">
        <w:t>&amp;</w:t>
      </w:r>
      <w:r w:rsidR="000E4CF5">
        <w:t xml:space="preserve"> </w:t>
      </w:r>
      <w:r w:rsidRPr="00E06F8B">
        <w:t>J.</w:t>
      </w:r>
      <w:r w:rsidR="000E4CF5">
        <w:t xml:space="preserve"> </w:t>
      </w:r>
      <w:r w:rsidRPr="00E06F8B">
        <w:t>E.</w:t>
      </w:r>
      <w:r w:rsidR="000E4CF5">
        <w:t xml:space="preserve"> </w:t>
      </w:r>
      <w:r w:rsidRPr="00E06F8B">
        <w:t>Talbert</w:t>
      </w:r>
      <w:r w:rsidR="000E4CF5">
        <w:t xml:space="preserve"> </w:t>
      </w:r>
      <w:r w:rsidRPr="00E06F8B">
        <w:t>(Eds.),</w:t>
      </w:r>
      <w:r w:rsidR="000E4CF5">
        <w:t xml:space="preserve"> </w:t>
      </w:r>
      <w:r w:rsidRPr="00E06F8B">
        <w:rPr>
          <w:i/>
        </w:rPr>
        <w:t>Teaching</w:t>
      </w:r>
      <w:r w:rsidR="000E4CF5">
        <w:rPr>
          <w:i/>
        </w:rPr>
        <w:t xml:space="preserve"> </w:t>
      </w:r>
      <w:r w:rsidRPr="00E06F8B">
        <w:rPr>
          <w:i/>
        </w:rPr>
        <w:t>for</w:t>
      </w:r>
      <w:r w:rsidR="000E4CF5">
        <w:rPr>
          <w:i/>
        </w:rPr>
        <w:t xml:space="preserve"> </w:t>
      </w:r>
      <w:r w:rsidRPr="00E06F8B">
        <w:rPr>
          <w:i/>
        </w:rPr>
        <w:t>understanding:</w:t>
      </w:r>
      <w:r w:rsidR="000E4CF5">
        <w:rPr>
          <w:i/>
        </w:rPr>
        <w:t xml:space="preserve"> </w:t>
      </w:r>
      <w:r w:rsidRPr="00E06F8B">
        <w:rPr>
          <w:i/>
        </w:rPr>
        <w:t>Challenges</w:t>
      </w:r>
      <w:r w:rsidR="000E4CF5">
        <w:rPr>
          <w:i/>
        </w:rPr>
        <w:t xml:space="preserve"> </w:t>
      </w:r>
      <w:r w:rsidRPr="00E06F8B">
        <w:rPr>
          <w:i/>
        </w:rPr>
        <w:t>for</w:t>
      </w:r>
      <w:r w:rsidR="000E4CF5">
        <w:rPr>
          <w:i/>
        </w:rPr>
        <w:t xml:space="preserve"> </w:t>
      </w:r>
      <w:r w:rsidRPr="00E06F8B">
        <w:rPr>
          <w:i/>
        </w:rPr>
        <w:t>policy</w:t>
      </w:r>
      <w:r w:rsidR="000E4CF5">
        <w:rPr>
          <w:i/>
        </w:rPr>
        <w:t xml:space="preserve"> </w:t>
      </w:r>
      <w:r w:rsidRPr="00E06F8B">
        <w:rPr>
          <w:i/>
        </w:rPr>
        <w:t>and</w:t>
      </w:r>
      <w:r w:rsidR="000E4CF5">
        <w:rPr>
          <w:i/>
        </w:rPr>
        <w:t xml:space="preserve"> </w:t>
      </w:r>
      <w:r w:rsidRPr="00E06F8B">
        <w:rPr>
          <w:i/>
        </w:rPr>
        <w:t>practice</w:t>
      </w:r>
      <w:r w:rsidR="000E4CF5">
        <w:t xml:space="preserve"> </w:t>
      </w:r>
      <w:r w:rsidRPr="00E06F8B">
        <w:t>(pp.</w:t>
      </w:r>
      <w:r w:rsidR="000E4CF5">
        <w:t xml:space="preserve"> </w:t>
      </w:r>
      <w:r w:rsidRPr="00E06F8B">
        <w:t>84–129).</w:t>
      </w:r>
      <w:r w:rsidR="000E4CF5">
        <w:t xml:space="preserve"> </w:t>
      </w:r>
      <w:r w:rsidRPr="00E06F8B">
        <w:t>San</w:t>
      </w:r>
      <w:r w:rsidR="000E4CF5">
        <w:t xml:space="preserve"> </w:t>
      </w:r>
      <w:r w:rsidRPr="00E06F8B">
        <w:t>Francisco,</w:t>
      </w:r>
      <w:r w:rsidR="000E4CF5">
        <w:t xml:space="preserve"> </w:t>
      </w:r>
      <w:r w:rsidRPr="00E06F8B">
        <w:t>CA:</w:t>
      </w:r>
      <w:r w:rsidR="000E4CF5">
        <w:t xml:space="preserve"> </w:t>
      </w:r>
      <w:proofErr w:type="spellStart"/>
      <w:r w:rsidRPr="00E06F8B">
        <w:t>Jossey</w:t>
      </w:r>
      <w:proofErr w:type="spellEnd"/>
      <w:r w:rsidRPr="00E06F8B">
        <w:t>-Bass.</w:t>
      </w:r>
    </w:p>
    <w:p w14:paraId="4BE5CAA3" w14:textId="77777777" w:rsidR="007D04A1" w:rsidRPr="00E06F8B" w:rsidRDefault="007D04A1" w:rsidP="00B90BA5">
      <w:pPr>
        <w:pStyle w:val="SEI-ReferenceList"/>
        <w:rPr>
          <w:rFonts w:cs="Helvetica"/>
          <w:color w:val="101010"/>
        </w:rPr>
      </w:pPr>
      <w:proofErr w:type="spellStart"/>
      <w:r w:rsidRPr="00E06F8B">
        <w:t>Windschitl</w:t>
      </w:r>
      <w:proofErr w:type="spellEnd"/>
      <w:r w:rsidRPr="00E06F8B">
        <w:t>,</w:t>
      </w:r>
      <w:r w:rsidR="000E4CF5">
        <w:t xml:space="preserve"> </w:t>
      </w:r>
      <w:r w:rsidRPr="00E06F8B">
        <w:t>M.</w:t>
      </w:r>
      <w:r w:rsidR="000E4CF5">
        <w:t xml:space="preserve"> </w:t>
      </w:r>
      <w:r w:rsidRPr="00E06F8B">
        <w:t>(2009).</w:t>
      </w:r>
      <w:r w:rsidR="000E4CF5">
        <w:t xml:space="preserve"> </w:t>
      </w:r>
      <w:r w:rsidRPr="00E06F8B">
        <w:t>Cultivating</w:t>
      </w:r>
      <w:r w:rsidR="000E4CF5">
        <w:t xml:space="preserve"> </w:t>
      </w:r>
      <w:r w:rsidRPr="00E06F8B">
        <w:t>21st</w:t>
      </w:r>
      <w:r w:rsidR="000E4CF5">
        <w:t xml:space="preserve"> </w:t>
      </w:r>
      <w:r w:rsidRPr="00E06F8B">
        <w:t>century</w:t>
      </w:r>
      <w:r w:rsidR="000E4CF5">
        <w:t xml:space="preserve"> </w:t>
      </w:r>
      <w:r w:rsidRPr="00E06F8B">
        <w:t>skills</w:t>
      </w:r>
      <w:r w:rsidR="000E4CF5">
        <w:t xml:space="preserve"> </w:t>
      </w:r>
      <w:r w:rsidRPr="00E06F8B">
        <w:t>in</w:t>
      </w:r>
      <w:r w:rsidR="000E4CF5">
        <w:t xml:space="preserve"> </w:t>
      </w:r>
      <w:r w:rsidRPr="00E06F8B">
        <w:t>science</w:t>
      </w:r>
      <w:r w:rsidR="000E4CF5">
        <w:t xml:space="preserve"> </w:t>
      </w:r>
      <w:r w:rsidRPr="00E06F8B">
        <w:t>learners:</w:t>
      </w:r>
      <w:r w:rsidR="000E4CF5">
        <w:t xml:space="preserve"> </w:t>
      </w:r>
      <w:r w:rsidRPr="00E06F8B">
        <w:t>How</w:t>
      </w:r>
      <w:r w:rsidR="000E4CF5">
        <w:t xml:space="preserve"> </w:t>
      </w:r>
      <w:r w:rsidRPr="00E06F8B">
        <w:t>systems</w:t>
      </w:r>
      <w:r w:rsidR="000E4CF5">
        <w:t xml:space="preserve"> </w:t>
      </w:r>
      <w:r w:rsidRPr="00E06F8B">
        <w:t>of</w:t>
      </w:r>
      <w:r w:rsidR="000E4CF5">
        <w:t xml:space="preserve"> </w:t>
      </w:r>
      <w:r w:rsidRPr="00E06F8B">
        <w:t>teacher</w:t>
      </w:r>
      <w:r w:rsidR="000E4CF5">
        <w:t xml:space="preserve"> </w:t>
      </w:r>
      <w:r w:rsidRPr="00E06F8B">
        <w:t>preparation</w:t>
      </w:r>
      <w:r w:rsidR="000E4CF5">
        <w:t xml:space="preserve"> </w:t>
      </w:r>
      <w:r w:rsidRPr="00E06F8B">
        <w:t>and</w:t>
      </w:r>
      <w:r w:rsidR="000E4CF5">
        <w:t xml:space="preserve"> </w:t>
      </w:r>
      <w:r w:rsidRPr="00E06F8B">
        <w:t>professional</w:t>
      </w:r>
      <w:r w:rsidR="000E4CF5">
        <w:t xml:space="preserve"> </w:t>
      </w:r>
      <w:r w:rsidRPr="00E06F8B">
        <w:t>development</w:t>
      </w:r>
      <w:r w:rsidR="000E4CF5">
        <w:t xml:space="preserve"> </w:t>
      </w:r>
      <w:r w:rsidRPr="00E06F8B">
        <w:t>will</w:t>
      </w:r>
      <w:r w:rsidR="000E4CF5">
        <w:t xml:space="preserve"> </w:t>
      </w:r>
      <w:r w:rsidRPr="00E06F8B">
        <w:t>have</w:t>
      </w:r>
      <w:r w:rsidR="000E4CF5">
        <w:t xml:space="preserve"> </w:t>
      </w:r>
      <w:r w:rsidRPr="00E06F8B">
        <w:t>to</w:t>
      </w:r>
      <w:r w:rsidR="000E4CF5">
        <w:t xml:space="preserve"> </w:t>
      </w:r>
      <w:r w:rsidRPr="00E06F8B">
        <w:t>evolve.</w:t>
      </w:r>
      <w:r w:rsidR="000E4CF5">
        <w:t xml:space="preserve"> </w:t>
      </w:r>
      <w:r w:rsidRPr="00E06F8B">
        <w:t>National</w:t>
      </w:r>
      <w:r w:rsidR="000E4CF5">
        <w:t xml:space="preserve"> </w:t>
      </w:r>
      <w:r w:rsidRPr="00E06F8B">
        <w:t>Academies</w:t>
      </w:r>
      <w:r w:rsidR="000E4CF5">
        <w:t xml:space="preserve"> </w:t>
      </w:r>
      <w:r w:rsidRPr="00E06F8B">
        <w:t>of</w:t>
      </w:r>
      <w:r w:rsidR="000E4CF5">
        <w:t xml:space="preserve"> </w:t>
      </w:r>
      <w:r w:rsidRPr="00E06F8B">
        <w:t>Science.</w:t>
      </w:r>
      <w:r w:rsidR="000E4CF5">
        <w:rPr>
          <w:rFonts w:cs="Helvetica"/>
        </w:rPr>
        <w:t xml:space="preserve"> </w:t>
      </w:r>
      <w:r w:rsidRPr="00E06F8B">
        <w:rPr>
          <w:rFonts w:cs="Helvetica"/>
        </w:rPr>
        <w:t>Retrieved</w:t>
      </w:r>
      <w:r w:rsidR="000E4CF5">
        <w:rPr>
          <w:rFonts w:cs="Helvetica"/>
        </w:rPr>
        <w:t xml:space="preserve"> </w:t>
      </w:r>
      <w:r w:rsidRPr="00E06F8B">
        <w:rPr>
          <w:rFonts w:cs="Helvetica"/>
        </w:rPr>
        <w:t>22</w:t>
      </w:r>
      <w:r w:rsidR="000E4CF5">
        <w:rPr>
          <w:rFonts w:cs="Helvetica"/>
        </w:rPr>
        <w:t xml:space="preserve"> </w:t>
      </w:r>
      <w:r w:rsidRPr="00E06F8B">
        <w:rPr>
          <w:rFonts w:cs="Helvetica"/>
        </w:rPr>
        <w:t>June</w:t>
      </w:r>
      <w:r w:rsidR="000E4CF5">
        <w:rPr>
          <w:rFonts w:cs="Helvetica"/>
        </w:rPr>
        <w:t xml:space="preserve"> </w:t>
      </w:r>
      <w:r w:rsidRPr="00E06F8B">
        <w:rPr>
          <w:rFonts w:cs="Helvetica"/>
        </w:rPr>
        <w:t>2011</w:t>
      </w:r>
      <w:r w:rsidR="000E4CF5">
        <w:rPr>
          <w:rFonts w:cs="Helvetica"/>
        </w:rPr>
        <w:t xml:space="preserve"> </w:t>
      </w:r>
      <w:r w:rsidRPr="00E06F8B">
        <w:rPr>
          <w:rFonts w:cs="Helvetica"/>
        </w:rPr>
        <w:t>from</w:t>
      </w:r>
      <w:r w:rsidR="000E4CF5">
        <w:rPr>
          <w:rFonts w:cs="Helvetica"/>
        </w:rPr>
        <w:t xml:space="preserve"> </w:t>
      </w:r>
      <w:r w:rsidRPr="00E06F8B">
        <w:rPr>
          <w:rFonts w:cs="Helvetica"/>
        </w:rPr>
        <w:t>http://education.washington.edu/research/reports</w:t>
      </w:r>
      <w:r w:rsidR="00DA57CB" w:rsidRPr="00E06F8B">
        <w:rPr>
          <w:lang w:val="en-GB"/>
        </w:rPr>
        <w:br/>
      </w:r>
      <w:r w:rsidRPr="00E06F8B">
        <w:rPr>
          <w:rFonts w:cs="Helvetica"/>
        </w:rPr>
        <w:t>/21stCenturySkills.pdf.</w:t>
      </w:r>
    </w:p>
    <w:p w14:paraId="499BB9E7" w14:textId="77777777" w:rsidR="007D04A1" w:rsidRPr="00E06F8B" w:rsidRDefault="007D04A1" w:rsidP="00B90BA5">
      <w:pPr>
        <w:pStyle w:val="SEI-ReferenceList"/>
      </w:pPr>
      <w:r w:rsidRPr="00E06F8B">
        <w:t>Wong,</w:t>
      </w:r>
      <w:r w:rsidR="000E4CF5">
        <w:t xml:space="preserve"> </w:t>
      </w:r>
      <w:r w:rsidRPr="00E06F8B">
        <w:t>A.</w:t>
      </w:r>
      <w:r w:rsidR="000E4CF5">
        <w:t xml:space="preserve"> </w:t>
      </w:r>
      <w:r w:rsidRPr="00E06F8B">
        <w:t>K.,</w:t>
      </w:r>
      <w:r w:rsidR="000E4CF5">
        <w:t xml:space="preserve"> </w:t>
      </w:r>
      <w:r w:rsidRPr="00E06F8B">
        <w:t>Chan,</w:t>
      </w:r>
      <w:r w:rsidR="000E4CF5">
        <w:t xml:space="preserve"> </w:t>
      </w:r>
      <w:r w:rsidRPr="00E06F8B">
        <w:t>K-W</w:t>
      </w:r>
      <w:proofErr w:type="gramStart"/>
      <w:r w:rsidRPr="00E06F8B">
        <w:t>.,</w:t>
      </w:r>
      <w:proofErr w:type="gramEnd"/>
      <w:r w:rsidR="000E4CF5">
        <w:t xml:space="preserve"> </w:t>
      </w:r>
      <w:r w:rsidRPr="00E06F8B">
        <w:t>&amp;</w:t>
      </w:r>
      <w:r w:rsidR="000E4CF5">
        <w:t xml:space="preserve"> </w:t>
      </w:r>
      <w:r w:rsidRPr="00E06F8B">
        <w:t>Lai,</w:t>
      </w:r>
      <w:r w:rsidR="000E4CF5">
        <w:t xml:space="preserve"> </w:t>
      </w:r>
      <w:r w:rsidRPr="00E06F8B">
        <w:t>P-Y.</w:t>
      </w:r>
      <w:r w:rsidR="000E4CF5">
        <w:t xml:space="preserve"> </w:t>
      </w:r>
      <w:r w:rsidRPr="00E06F8B">
        <w:t>(2009).</w:t>
      </w:r>
      <w:r w:rsidR="000E4CF5">
        <w:t xml:space="preserve"> </w:t>
      </w:r>
      <w:r w:rsidRPr="00E06F8B">
        <w:t>Revisiting</w:t>
      </w:r>
      <w:r w:rsidR="000E4CF5">
        <w:t xml:space="preserve"> </w:t>
      </w:r>
      <w:r w:rsidRPr="00E06F8B">
        <w:t>the</w:t>
      </w:r>
      <w:r w:rsidR="000E4CF5">
        <w:t xml:space="preserve"> </w:t>
      </w:r>
      <w:r w:rsidRPr="00E06F8B">
        <w:t>relatio</w:t>
      </w:r>
      <w:r w:rsidRPr="00E06F8B">
        <w:t>n</w:t>
      </w:r>
      <w:r w:rsidRPr="00E06F8B">
        <w:t>ships</w:t>
      </w:r>
      <w:r w:rsidR="000E4CF5">
        <w:t xml:space="preserve"> </w:t>
      </w:r>
      <w:r w:rsidRPr="00E06F8B">
        <w:t>of</w:t>
      </w:r>
      <w:r w:rsidR="000E4CF5">
        <w:t xml:space="preserve"> </w:t>
      </w:r>
      <w:r w:rsidRPr="00E06F8B">
        <w:t>epistemological</w:t>
      </w:r>
      <w:r w:rsidR="000E4CF5">
        <w:t xml:space="preserve"> </w:t>
      </w:r>
      <w:r w:rsidRPr="00E06F8B">
        <w:t>beliefs</w:t>
      </w:r>
      <w:r w:rsidR="000E4CF5">
        <w:t xml:space="preserve"> </w:t>
      </w:r>
      <w:r w:rsidRPr="00E06F8B">
        <w:t>and</w:t>
      </w:r>
      <w:r w:rsidR="000E4CF5">
        <w:t xml:space="preserve"> </w:t>
      </w:r>
      <w:r w:rsidRPr="00E06F8B">
        <w:t>conceptions</w:t>
      </w:r>
      <w:r w:rsidR="000E4CF5">
        <w:t xml:space="preserve"> </w:t>
      </w:r>
      <w:r w:rsidRPr="00E06F8B">
        <w:t>about</w:t>
      </w:r>
      <w:r w:rsidR="000E4CF5">
        <w:t xml:space="preserve"> </w:t>
      </w:r>
      <w:r w:rsidRPr="00E06F8B">
        <w:t>teaching</w:t>
      </w:r>
      <w:r w:rsidR="000E4CF5">
        <w:t xml:space="preserve"> </w:t>
      </w:r>
      <w:r w:rsidRPr="00E06F8B">
        <w:t>and</w:t>
      </w:r>
      <w:r w:rsidR="000E4CF5">
        <w:t xml:space="preserve"> </w:t>
      </w:r>
      <w:r w:rsidRPr="00E06F8B">
        <w:t>learning</w:t>
      </w:r>
      <w:r w:rsidR="000E4CF5">
        <w:t xml:space="preserve"> </w:t>
      </w:r>
      <w:r w:rsidRPr="00E06F8B">
        <w:t>of</w:t>
      </w:r>
      <w:r w:rsidR="000E4CF5">
        <w:t xml:space="preserve"> </w:t>
      </w:r>
      <w:r w:rsidRPr="00E06F8B">
        <w:t>pre-service</w:t>
      </w:r>
      <w:r w:rsidR="000E4CF5">
        <w:t xml:space="preserve"> </w:t>
      </w:r>
      <w:r w:rsidRPr="00E06F8B">
        <w:t>teachers</w:t>
      </w:r>
      <w:r w:rsidR="000E4CF5">
        <w:t xml:space="preserve"> </w:t>
      </w:r>
      <w:r w:rsidRPr="00E06F8B">
        <w:t>in</w:t>
      </w:r>
      <w:r w:rsidR="000E4CF5">
        <w:t xml:space="preserve"> </w:t>
      </w:r>
      <w:r w:rsidRPr="00E06F8B">
        <w:t>Hong</w:t>
      </w:r>
      <w:r w:rsidR="000E4CF5">
        <w:t xml:space="preserve"> </w:t>
      </w:r>
      <w:r w:rsidRPr="00E06F8B">
        <w:t>Kong.</w:t>
      </w:r>
      <w:r w:rsidR="000E4CF5">
        <w:t xml:space="preserve"> </w:t>
      </w:r>
      <w:proofErr w:type="gramStart"/>
      <w:r w:rsidRPr="00E06F8B">
        <w:rPr>
          <w:i/>
          <w:iCs/>
        </w:rPr>
        <w:t>The</w:t>
      </w:r>
      <w:r w:rsidR="000E4CF5">
        <w:rPr>
          <w:i/>
          <w:iCs/>
        </w:rPr>
        <w:t xml:space="preserve"> </w:t>
      </w:r>
      <w:r w:rsidRPr="00E06F8B">
        <w:rPr>
          <w:i/>
          <w:iCs/>
        </w:rPr>
        <w:t>Asia-Pacific</w:t>
      </w:r>
      <w:r w:rsidR="000E4CF5">
        <w:rPr>
          <w:i/>
          <w:iCs/>
        </w:rPr>
        <w:t xml:space="preserve"> </w:t>
      </w:r>
      <w:r w:rsidRPr="00E06F8B">
        <w:rPr>
          <w:i/>
          <w:iCs/>
        </w:rPr>
        <w:t>E</w:t>
      </w:r>
      <w:r w:rsidRPr="00E06F8B">
        <w:rPr>
          <w:i/>
          <w:iCs/>
        </w:rPr>
        <w:t>d</w:t>
      </w:r>
      <w:r w:rsidRPr="00E06F8B">
        <w:rPr>
          <w:i/>
          <w:iCs/>
        </w:rPr>
        <w:t>ucation</w:t>
      </w:r>
      <w:r w:rsidR="000E4CF5">
        <w:rPr>
          <w:i/>
          <w:iCs/>
        </w:rPr>
        <w:t xml:space="preserve"> </w:t>
      </w:r>
      <w:r w:rsidRPr="00E06F8B">
        <w:rPr>
          <w:i/>
          <w:iCs/>
        </w:rPr>
        <w:t>Researcher,</w:t>
      </w:r>
      <w:r w:rsidR="000E4CF5">
        <w:rPr>
          <w:i/>
          <w:iCs/>
        </w:rPr>
        <w:t xml:space="preserve"> </w:t>
      </w:r>
      <w:r w:rsidRPr="00E06F8B">
        <w:rPr>
          <w:i/>
          <w:iCs/>
        </w:rPr>
        <w:t>18</w:t>
      </w:r>
      <w:r w:rsidR="000D0219">
        <w:rPr>
          <w:iCs/>
        </w:rPr>
        <w:t>(1)</w:t>
      </w:r>
      <w:r w:rsidRPr="00E06F8B">
        <w:t>,</w:t>
      </w:r>
      <w:r w:rsidR="000E4CF5">
        <w:t xml:space="preserve"> </w:t>
      </w:r>
      <w:r w:rsidRPr="00E06F8B">
        <w:t>1-19.</w:t>
      </w:r>
      <w:proofErr w:type="gramEnd"/>
    </w:p>
    <w:p w14:paraId="7637B6A5" w14:textId="77777777" w:rsidR="007D04A1" w:rsidRPr="00E06F8B" w:rsidRDefault="007D04A1" w:rsidP="00B90BA5">
      <w:pPr>
        <w:pStyle w:val="SEI-ReferenceList"/>
      </w:pPr>
      <w:proofErr w:type="spellStart"/>
      <w:proofErr w:type="gramStart"/>
      <w:r w:rsidRPr="00E06F8B">
        <w:t>Woolfolk</w:t>
      </w:r>
      <w:proofErr w:type="spellEnd"/>
      <w:r w:rsidRPr="00E06F8B">
        <w:t>-Hoy,</w:t>
      </w:r>
      <w:r w:rsidR="000E4CF5">
        <w:t xml:space="preserve"> </w:t>
      </w:r>
      <w:r w:rsidRPr="00E06F8B">
        <w:t>A.,</w:t>
      </w:r>
      <w:r w:rsidR="000E4CF5">
        <w:t xml:space="preserve"> </w:t>
      </w:r>
      <w:r w:rsidRPr="00E06F8B">
        <w:t>Davis,</w:t>
      </w:r>
      <w:r w:rsidR="000E4CF5">
        <w:t xml:space="preserve"> </w:t>
      </w:r>
      <w:r w:rsidRPr="00E06F8B">
        <w:t>H.,</w:t>
      </w:r>
      <w:r w:rsidR="000E4CF5">
        <w:t xml:space="preserve"> </w:t>
      </w:r>
      <w:r w:rsidRPr="00E06F8B">
        <w:t>&amp;</w:t>
      </w:r>
      <w:r w:rsidR="000E4CF5">
        <w:t xml:space="preserve"> </w:t>
      </w:r>
      <w:proofErr w:type="spellStart"/>
      <w:r w:rsidRPr="00E06F8B">
        <w:t>Pape</w:t>
      </w:r>
      <w:proofErr w:type="spellEnd"/>
      <w:r w:rsidRPr="00E06F8B">
        <w:t>,</w:t>
      </w:r>
      <w:r w:rsidR="000E4CF5">
        <w:t xml:space="preserve"> </w:t>
      </w:r>
      <w:r w:rsidRPr="00E06F8B">
        <w:t>S.</w:t>
      </w:r>
      <w:r w:rsidR="000E4CF5">
        <w:t xml:space="preserve"> </w:t>
      </w:r>
      <w:r w:rsidRPr="00E06F8B">
        <w:t>J.</w:t>
      </w:r>
      <w:r w:rsidR="000E4CF5">
        <w:t xml:space="preserve"> </w:t>
      </w:r>
      <w:r w:rsidRPr="00E06F8B">
        <w:t>(2006).</w:t>
      </w:r>
      <w:proofErr w:type="gramEnd"/>
      <w:r w:rsidR="000E4CF5">
        <w:t xml:space="preserve"> </w:t>
      </w:r>
      <w:proofErr w:type="gramStart"/>
      <w:r w:rsidRPr="00E06F8B">
        <w:t>Teacher</w:t>
      </w:r>
      <w:r w:rsidR="000E4CF5">
        <w:t xml:space="preserve"> </w:t>
      </w:r>
      <w:r w:rsidRPr="00E06F8B">
        <w:t>knowledge</w:t>
      </w:r>
      <w:r w:rsidR="000E4CF5">
        <w:t xml:space="preserve"> </w:t>
      </w:r>
      <w:r w:rsidRPr="00E06F8B">
        <w:t>and</w:t>
      </w:r>
      <w:r w:rsidR="000E4CF5">
        <w:t xml:space="preserve"> </w:t>
      </w:r>
      <w:r w:rsidRPr="00E06F8B">
        <w:t>beliefs.</w:t>
      </w:r>
      <w:proofErr w:type="gramEnd"/>
      <w:r w:rsidR="000E4CF5">
        <w:t xml:space="preserve"> </w:t>
      </w:r>
      <w:r w:rsidRPr="00E06F8B">
        <w:t>In</w:t>
      </w:r>
      <w:r w:rsidR="000E4CF5">
        <w:t xml:space="preserve"> </w:t>
      </w:r>
      <w:r w:rsidRPr="00E06F8B">
        <w:t>P.</w:t>
      </w:r>
      <w:r w:rsidR="000E4CF5">
        <w:t xml:space="preserve"> </w:t>
      </w:r>
      <w:r w:rsidRPr="00E06F8B">
        <w:t>A.</w:t>
      </w:r>
      <w:r w:rsidR="000E4CF5">
        <w:t xml:space="preserve"> </w:t>
      </w:r>
      <w:r w:rsidRPr="00E06F8B">
        <w:t>Alexander</w:t>
      </w:r>
      <w:r w:rsidR="000E4CF5">
        <w:t xml:space="preserve"> </w:t>
      </w:r>
      <w:r w:rsidRPr="00E06F8B">
        <w:t>&amp;</w:t>
      </w:r>
      <w:r w:rsidR="000E4CF5">
        <w:t xml:space="preserve"> </w:t>
      </w:r>
      <w:r w:rsidRPr="00E06F8B">
        <w:t>P.</w:t>
      </w:r>
      <w:r w:rsidR="000E4CF5">
        <w:t xml:space="preserve"> </w:t>
      </w:r>
      <w:r w:rsidRPr="00E06F8B">
        <w:t>H.</w:t>
      </w:r>
      <w:r w:rsidR="000E4CF5">
        <w:t xml:space="preserve"> </w:t>
      </w:r>
      <w:proofErr w:type="spellStart"/>
      <w:r w:rsidRPr="00E06F8B">
        <w:t>Winne</w:t>
      </w:r>
      <w:proofErr w:type="spellEnd"/>
      <w:r w:rsidR="000E4CF5">
        <w:t xml:space="preserve"> </w:t>
      </w:r>
      <w:r w:rsidRPr="00E06F8B">
        <w:t>(Eds.),</w:t>
      </w:r>
      <w:r w:rsidR="000E4CF5">
        <w:t xml:space="preserve"> </w:t>
      </w:r>
      <w:r w:rsidRPr="00E06F8B">
        <w:rPr>
          <w:i/>
          <w:iCs/>
        </w:rPr>
        <w:t>Handbook</w:t>
      </w:r>
      <w:r w:rsidR="000E4CF5">
        <w:rPr>
          <w:i/>
          <w:iCs/>
        </w:rPr>
        <w:t xml:space="preserve"> </w:t>
      </w:r>
      <w:r w:rsidRPr="00E06F8B">
        <w:rPr>
          <w:i/>
          <w:iCs/>
        </w:rPr>
        <w:t>of</w:t>
      </w:r>
      <w:r w:rsidR="000E4CF5">
        <w:rPr>
          <w:i/>
          <w:iCs/>
        </w:rPr>
        <w:t xml:space="preserve"> </w:t>
      </w:r>
      <w:r w:rsidRPr="00E06F8B">
        <w:rPr>
          <w:i/>
          <w:iCs/>
        </w:rPr>
        <w:t>educational</w:t>
      </w:r>
      <w:r w:rsidR="000E4CF5">
        <w:rPr>
          <w:i/>
          <w:iCs/>
        </w:rPr>
        <w:t xml:space="preserve"> </w:t>
      </w:r>
      <w:r w:rsidRPr="00E06F8B">
        <w:rPr>
          <w:i/>
          <w:iCs/>
        </w:rPr>
        <w:t>psychology</w:t>
      </w:r>
      <w:r w:rsidR="000E4CF5">
        <w:rPr>
          <w:i/>
          <w:iCs/>
        </w:rPr>
        <w:t xml:space="preserve"> </w:t>
      </w:r>
      <w:r w:rsidRPr="00E06F8B">
        <w:rPr>
          <w:i/>
          <w:iCs/>
        </w:rPr>
        <w:t>(2nd</w:t>
      </w:r>
      <w:r w:rsidR="000E4CF5">
        <w:rPr>
          <w:i/>
          <w:iCs/>
        </w:rPr>
        <w:t xml:space="preserve"> </w:t>
      </w:r>
      <w:r w:rsidRPr="00E06F8B">
        <w:rPr>
          <w:i/>
          <w:iCs/>
        </w:rPr>
        <w:t>ed.),</w:t>
      </w:r>
      <w:r w:rsidR="000E4CF5">
        <w:rPr>
          <w:i/>
          <w:iCs/>
        </w:rPr>
        <w:t xml:space="preserve"> </w:t>
      </w:r>
      <w:r w:rsidRPr="00E06F8B">
        <w:rPr>
          <w:i/>
          <w:iCs/>
        </w:rPr>
        <w:t>(</w:t>
      </w:r>
      <w:r w:rsidRPr="00E06F8B">
        <w:t>pp.</w:t>
      </w:r>
      <w:r w:rsidR="000E4CF5">
        <w:t xml:space="preserve"> </w:t>
      </w:r>
      <w:r w:rsidRPr="00E06F8B">
        <w:t>715-737).</w:t>
      </w:r>
      <w:r w:rsidR="000E4CF5">
        <w:t xml:space="preserve"> </w:t>
      </w:r>
      <w:r w:rsidRPr="00E06F8B">
        <w:t>Mahwah,</w:t>
      </w:r>
      <w:r w:rsidR="000E4CF5">
        <w:t xml:space="preserve"> </w:t>
      </w:r>
      <w:r w:rsidRPr="00E06F8B">
        <w:t>NJ:</w:t>
      </w:r>
      <w:r w:rsidR="000E4CF5">
        <w:t xml:space="preserve"> </w:t>
      </w:r>
      <w:r w:rsidRPr="00E06F8B">
        <w:t>La</w:t>
      </w:r>
      <w:r w:rsidRPr="00E06F8B">
        <w:t>w</w:t>
      </w:r>
      <w:r w:rsidRPr="00E06F8B">
        <w:t>rence</w:t>
      </w:r>
      <w:r w:rsidR="000E4CF5">
        <w:t xml:space="preserve"> </w:t>
      </w:r>
      <w:r w:rsidRPr="00E06F8B">
        <w:t>Erlbaum.</w:t>
      </w:r>
    </w:p>
    <w:p w14:paraId="5266CF14" w14:textId="77777777" w:rsidR="007D04A1" w:rsidRPr="008F3DF5" w:rsidRDefault="007D04A1" w:rsidP="00475A74">
      <w:pPr>
        <w:pStyle w:val="SEI-ReferenceList"/>
      </w:pPr>
      <w:proofErr w:type="spellStart"/>
      <w:r w:rsidRPr="00E06F8B">
        <w:t>Yilmaz-Tuzun</w:t>
      </w:r>
      <w:proofErr w:type="spellEnd"/>
      <w:r w:rsidRPr="00E06F8B">
        <w:t>,</w:t>
      </w:r>
      <w:r w:rsidR="000E4CF5">
        <w:t xml:space="preserve"> </w:t>
      </w:r>
      <w:r w:rsidRPr="00E06F8B">
        <w:t>O.</w:t>
      </w:r>
      <w:r w:rsidR="000E4CF5">
        <w:t xml:space="preserve"> </w:t>
      </w:r>
      <w:r w:rsidRPr="00E06F8B">
        <w:t>(2008).</w:t>
      </w:r>
      <w:r w:rsidR="000E4CF5">
        <w:t xml:space="preserve"> </w:t>
      </w:r>
      <w:proofErr w:type="gramStart"/>
      <w:r w:rsidRPr="00E06F8B">
        <w:t>Preservice</w:t>
      </w:r>
      <w:r w:rsidR="000E4CF5">
        <w:t xml:space="preserve"> </w:t>
      </w:r>
      <w:r w:rsidRPr="00E06F8B">
        <w:t>elementary</w:t>
      </w:r>
      <w:r w:rsidR="000E4CF5">
        <w:t xml:space="preserve"> </w:t>
      </w:r>
      <w:r w:rsidRPr="00E06F8B">
        <w:t>teachers’</w:t>
      </w:r>
      <w:r w:rsidR="000E4CF5">
        <w:t xml:space="preserve"> </w:t>
      </w:r>
      <w:r w:rsidRPr="00E06F8B">
        <w:t>beliefs</w:t>
      </w:r>
      <w:r w:rsidR="000E4CF5">
        <w:t xml:space="preserve"> </w:t>
      </w:r>
      <w:r w:rsidRPr="00E06F8B">
        <w:t>about</w:t>
      </w:r>
      <w:r w:rsidR="000E4CF5">
        <w:t xml:space="preserve"> </w:t>
      </w:r>
      <w:r w:rsidRPr="00E06F8B">
        <w:t>science</w:t>
      </w:r>
      <w:r w:rsidR="000E4CF5">
        <w:t xml:space="preserve"> </w:t>
      </w:r>
      <w:r w:rsidRPr="00E06F8B">
        <w:t>teaching.</w:t>
      </w:r>
      <w:proofErr w:type="gramEnd"/>
      <w:r w:rsidR="000E4CF5">
        <w:t xml:space="preserve"> </w:t>
      </w:r>
      <w:proofErr w:type="gramStart"/>
      <w:r w:rsidRPr="00E06F8B">
        <w:rPr>
          <w:i/>
        </w:rPr>
        <w:t>Journal</w:t>
      </w:r>
      <w:r w:rsidR="000E4CF5">
        <w:rPr>
          <w:i/>
        </w:rPr>
        <w:t xml:space="preserve"> </w:t>
      </w:r>
      <w:r w:rsidRPr="00E06F8B">
        <w:rPr>
          <w:i/>
        </w:rPr>
        <w:t>of</w:t>
      </w:r>
      <w:r w:rsidR="000E4CF5">
        <w:rPr>
          <w:i/>
        </w:rPr>
        <w:t xml:space="preserve"> </w:t>
      </w:r>
      <w:r w:rsidRPr="00E06F8B">
        <w:rPr>
          <w:i/>
        </w:rPr>
        <w:t>Science</w:t>
      </w:r>
      <w:r w:rsidR="000E4CF5">
        <w:rPr>
          <w:i/>
        </w:rPr>
        <w:t xml:space="preserve"> </w:t>
      </w:r>
      <w:r w:rsidRPr="00E06F8B">
        <w:rPr>
          <w:i/>
        </w:rPr>
        <w:t>Teacher</w:t>
      </w:r>
      <w:r w:rsidR="000E4CF5">
        <w:rPr>
          <w:i/>
        </w:rPr>
        <w:t xml:space="preserve"> </w:t>
      </w:r>
      <w:r w:rsidRPr="00E06F8B">
        <w:rPr>
          <w:i/>
        </w:rPr>
        <w:t>Education,</w:t>
      </w:r>
      <w:r w:rsidR="000E4CF5">
        <w:rPr>
          <w:i/>
        </w:rPr>
        <w:t xml:space="preserve"> </w:t>
      </w:r>
      <w:r w:rsidRPr="00E06F8B">
        <w:rPr>
          <w:i/>
        </w:rPr>
        <w:t>19</w:t>
      </w:r>
      <w:r w:rsidR="000D0219">
        <w:t>(2)</w:t>
      </w:r>
      <w:r w:rsidRPr="00E06F8B">
        <w:rPr>
          <w:i/>
        </w:rPr>
        <w:t>,</w:t>
      </w:r>
      <w:r w:rsidR="000E4CF5">
        <w:rPr>
          <w:i/>
        </w:rPr>
        <w:t xml:space="preserve"> </w:t>
      </w:r>
      <w:r w:rsidRPr="00E06F8B">
        <w:t>183-204.</w:t>
      </w:r>
      <w:proofErr w:type="gramEnd"/>
    </w:p>
    <w:sectPr w:rsidR="007D04A1" w:rsidRPr="008F3DF5" w:rsidSect="001B190B">
      <w:headerReference w:type="default" r:id="rId11"/>
      <w:footerReference w:type="even" r:id="rId12"/>
      <w:footerReference w:type="default" r:id="rId13"/>
      <w:footnotePr>
        <w:numFmt w:val="chicago"/>
      </w:footnotePr>
      <w:pgSz w:w="9980" w:h="14180"/>
      <w:pgMar w:top="1418" w:right="1701" w:bottom="1418" w:left="1701" w:header="709" w:footer="709" w:gutter="0"/>
      <w:pgNumType w:start="63"/>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930">
      <wne:acd wne:acdName="acd2"/>
    </wne:keymap>
    <wne:keymap wne:kcmPrimary="0939">
      <wne:acd wne:acdName="acd1"/>
    </wne:keymap>
  </wne:keymaps>
  <wne:toolbars>
    <wne:acdManifest>
      <wne:acdEntry wne:acdName="acd0"/>
      <wne:acdEntry wne:acdName="acd1"/>
      <wne:acdEntry wne:acdName="acd2"/>
    </wne:acdManifest>
  </wne:toolbars>
  <wne:acds>
    <wne:acd wne:acdName="acd0" wne:fciIndexBasedOn="0065"/>
    <wne:acd wne:argValue="AQAAAE0A" wne:acdName="acd1" wne:fciIndexBasedOn="0065"/>
    <wne:acd wne:argValue="AgBOAG8AcgBtAGEAbAAsAFMARQBJAC0AQgBvAGQAeQAgAFQAZQB4AHQA" wne:acdName="acd2" wne:fciIndexBasedOn="0065"/>
  </wne:acd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4180E" w14:textId="77777777" w:rsidR="007011A8" w:rsidRDefault="007011A8" w:rsidP="004A51F2">
      <w:r>
        <w:separator/>
      </w:r>
    </w:p>
  </w:endnote>
  <w:endnote w:type="continuationSeparator" w:id="0">
    <w:p w14:paraId="5ADBDCAF" w14:textId="77777777" w:rsidR="007011A8" w:rsidRDefault="007011A8" w:rsidP="004A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74FF8" w14:textId="77777777" w:rsidR="007011A8" w:rsidRDefault="007011A8" w:rsidP="001A276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03C386" w14:textId="77777777" w:rsidR="007011A8" w:rsidRDefault="007011A8" w:rsidP="001A276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6FF07" w14:textId="77777777" w:rsidR="007011A8" w:rsidRPr="004048F5" w:rsidRDefault="007011A8" w:rsidP="001A2767">
    <w:pPr>
      <w:pStyle w:val="Footer"/>
      <w:jc w:val="center"/>
      <w:rPr>
        <w:rStyle w:val="PageNumber"/>
      </w:rPr>
    </w:pPr>
    <w:r w:rsidRPr="004048F5">
      <w:rPr>
        <w:rStyle w:val="PageNumber"/>
      </w:rPr>
      <w:fldChar w:fldCharType="begin"/>
    </w:r>
    <w:r w:rsidRPr="004048F5">
      <w:rPr>
        <w:rStyle w:val="PageNumber"/>
      </w:rPr>
      <w:instrText xml:space="preserve"> PAGE </w:instrText>
    </w:r>
    <w:r w:rsidRPr="004048F5">
      <w:rPr>
        <w:rStyle w:val="PageNumber"/>
      </w:rPr>
      <w:fldChar w:fldCharType="separate"/>
    </w:r>
    <w:r w:rsidR="001B190B">
      <w:rPr>
        <w:rStyle w:val="PageNumber"/>
        <w:noProof/>
      </w:rPr>
      <w:t>77</w:t>
    </w:r>
    <w:r w:rsidRPr="004048F5">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64791" w14:textId="77777777" w:rsidR="007011A8" w:rsidRDefault="007011A8" w:rsidP="004A51F2">
      <w:r>
        <w:separator/>
      </w:r>
    </w:p>
  </w:footnote>
  <w:footnote w:type="continuationSeparator" w:id="0">
    <w:p w14:paraId="505F4A51" w14:textId="77777777" w:rsidR="007011A8" w:rsidRDefault="007011A8" w:rsidP="004A51F2">
      <w:r>
        <w:continuationSeparator/>
      </w:r>
    </w:p>
  </w:footnote>
  <w:footnote w:id="1">
    <w:p w14:paraId="4A5293EB" w14:textId="77777777" w:rsidR="007011A8" w:rsidRPr="001A2767" w:rsidRDefault="007011A8" w:rsidP="001A2767">
      <w:pPr>
        <w:pStyle w:val="Footer"/>
      </w:pPr>
      <w:r w:rsidRPr="001A2767">
        <w:rPr>
          <w:rStyle w:val="FootnoteReference"/>
          <w:vertAlign w:val="baseline"/>
        </w:rPr>
        <w:footnoteRef/>
      </w:r>
      <w:r w:rsidRPr="001A2767">
        <w:t xml:space="preserve"> Mariano Marcos State University, Philippines</w:t>
      </w:r>
    </w:p>
  </w:footnote>
  <w:footnote w:id="2">
    <w:p w14:paraId="5D017270" w14:textId="77777777" w:rsidR="007011A8" w:rsidRPr="001A2767" w:rsidRDefault="007011A8" w:rsidP="001A2767">
      <w:pPr>
        <w:pStyle w:val="Footer"/>
      </w:pPr>
      <w:r w:rsidRPr="001A2767">
        <w:rPr>
          <w:rStyle w:val="FootnoteReference"/>
          <w:vertAlign w:val="baseline"/>
        </w:rPr>
        <w:footnoteRef/>
      </w:r>
      <w:r w:rsidRPr="001A2767">
        <w:t xml:space="preserve"> </w:t>
      </w:r>
      <w:r w:rsidRPr="00E657F1">
        <w:rPr>
          <w:lang w:val="en-GB"/>
        </w:rPr>
        <w:t>University of Macau, Macau SAR China</w:t>
      </w:r>
    </w:p>
  </w:footnote>
  <w:footnote w:id="3">
    <w:p w14:paraId="1B902B40" w14:textId="77777777" w:rsidR="007011A8" w:rsidRDefault="007011A8" w:rsidP="001A2767">
      <w:pPr>
        <w:pStyle w:val="Footer"/>
      </w:pPr>
      <w:r w:rsidRPr="001A2767">
        <w:rPr>
          <w:rStyle w:val="FootnoteReference"/>
          <w:vertAlign w:val="baseline"/>
        </w:rPr>
        <w:footnoteRef/>
      </w:r>
      <w:r w:rsidRPr="001A2767">
        <w:t xml:space="preserve"> Corresponding </w:t>
      </w:r>
      <w:r>
        <w:t>A</w:t>
      </w:r>
      <w:r w:rsidRPr="001A2767">
        <w:t>uthor:</w:t>
      </w:r>
      <w:r>
        <w:t xml:space="preserve"> </w:t>
      </w:r>
      <w:proofErr w:type="spellStart"/>
      <w:r w:rsidRPr="007D1310">
        <w:rPr>
          <w:lang w:val="en-GB"/>
        </w:rPr>
        <w:t>allanbibernardo@umac.mo</w:t>
      </w:r>
      <w:proofErr w:type="spell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3D287" w14:textId="77777777" w:rsidR="007011A8" w:rsidRPr="00E73499" w:rsidRDefault="007011A8" w:rsidP="004A51F2">
    <w:pPr>
      <w:pStyle w:val="Header"/>
    </w:pPr>
    <w:r w:rsidRPr="00E73499">
      <w:t>Science Education International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16A7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3AC5932"/>
    <w:lvl w:ilvl="0">
      <w:start w:val="1"/>
      <w:numFmt w:val="decimal"/>
      <w:lvlText w:val="%1."/>
      <w:lvlJc w:val="left"/>
      <w:pPr>
        <w:tabs>
          <w:tab w:val="num" w:pos="1492"/>
        </w:tabs>
        <w:ind w:left="1492" w:hanging="360"/>
      </w:pPr>
    </w:lvl>
  </w:abstractNum>
  <w:abstractNum w:abstractNumId="2">
    <w:nsid w:val="FFFFFF7D"/>
    <w:multiLevelType w:val="singleLevel"/>
    <w:tmpl w:val="97E24F40"/>
    <w:lvl w:ilvl="0">
      <w:start w:val="1"/>
      <w:numFmt w:val="decimal"/>
      <w:lvlText w:val="%1."/>
      <w:lvlJc w:val="left"/>
      <w:pPr>
        <w:tabs>
          <w:tab w:val="num" w:pos="1209"/>
        </w:tabs>
        <w:ind w:left="1209" w:hanging="360"/>
      </w:pPr>
    </w:lvl>
  </w:abstractNum>
  <w:abstractNum w:abstractNumId="3">
    <w:nsid w:val="FFFFFF7E"/>
    <w:multiLevelType w:val="singleLevel"/>
    <w:tmpl w:val="73C01C80"/>
    <w:lvl w:ilvl="0">
      <w:start w:val="1"/>
      <w:numFmt w:val="decimal"/>
      <w:lvlText w:val="%1."/>
      <w:lvlJc w:val="left"/>
      <w:pPr>
        <w:tabs>
          <w:tab w:val="num" w:pos="926"/>
        </w:tabs>
        <w:ind w:left="926" w:hanging="360"/>
      </w:pPr>
    </w:lvl>
  </w:abstractNum>
  <w:abstractNum w:abstractNumId="4">
    <w:nsid w:val="FFFFFF7F"/>
    <w:multiLevelType w:val="singleLevel"/>
    <w:tmpl w:val="880CAB56"/>
    <w:lvl w:ilvl="0">
      <w:start w:val="1"/>
      <w:numFmt w:val="decimal"/>
      <w:lvlText w:val="%1."/>
      <w:lvlJc w:val="left"/>
      <w:pPr>
        <w:tabs>
          <w:tab w:val="num" w:pos="643"/>
        </w:tabs>
        <w:ind w:left="643" w:hanging="360"/>
      </w:pPr>
    </w:lvl>
  </w:abstractNum>
  <w:abstractNum w:abstractNumId="5">
    <w:nsid w:val="FFFFFF80"/>
    <w:multiLevelType w:val="singleLevel"/>
    <w:tmpl w:val="8BB293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32FE4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122955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4629AE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616DE6E"/>
    <w:lvl w:ilvl="0">
      <w:start w:val="1"/>
      <w:numFmt w:val="decimal"/>
      <w:lvlText w:val="%1."/>
      <w:lvlJc w:val="left"/>
      <w:pPr>
        <w:tabs>
          <w:tab w:val="num" w:pos="360"/>
        </w:tabs>
        <w:ind w:left="360" w:hanging="360"/>
      </w:pPr>
    </w:lvl>
  </w:abstractNum>
  <w:abstractNum w:abstractNumId="10">
    <w:nsid w:val="FFFFFF89"/>
    <w:multiLevelType w:val="singleLevel"/>
    <w:tmpl w:val="AD64717E"/>
    <w:lvl w:ilvl="0">
      <w:start w:val="1"/>
      <w:numFmt w:val="bullet"/>
      <w:lvlText w:val=""/>
      <w:lvlJc w:val="left"/>
      <w:pPr>
        <w:tabs>
          <w:tab w:val="num" w:pos="360"/>
        </w:tabs>
        <w:ind w:left="360" w:hanging="360"/>
      </w:pPr>
      <w:rPr>
        <w:rFonts w:ascii="Symbol" w:hAnsi="Symbol" w:hint="default"/>
      </w:rPr>
    </w:lvl>
  </w:abstractNum>
  <w:abstractNum w:abstractNumId="11">
    <w:nsid w:val="11AF11FC"/>
    <w:multiLevelType w:val="hybridMultilevel"/>
    <w:tmpl w:val="636A6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B153BC"/>
    <w:multiLevelType w:val="hybridMultilevel"/>
    <w:tmpl w:val="DBB2E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4"/>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autoHyphenation/>
  <w:hyphenationZone w:val="357"/>
  <w:drawingGridHorizontalSpacing w:val="360"/>
  <w:drawingGridVerticalSpacing w:val="360"/>
  <w:displayHorizontalDrawingGridEvery w:val="0"/>
  <w:displayVerticalDrawingGridEvery w:val="0"/>
  <w:characterSpacingControl w:val="doNotCompress"/>
  <w:savePreviewPicture/>
  <w:footnotePr>
    <w:numFmt w:val="chicago"/>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5A2BC0"/>
    <w:rsid w:val="00012F73"/>
    <w:rsid w:val="00022F3D"/>
    <w:rsid w:val="00045000"/>
    <w:rsid w:val="00083117"/>
    <w:rsid w:val="000A450F"/>
    <w:rsid w:val="000D0219"/>
    <w:rsid w:val="000D1020"/>
    <w:rsid w:val="000D40C5"/>
    <w:rsid w:val="000E4CF5"/>
    <w:rsid w:val="000F2D0A"/>
    <w:rsid w:val="00141503"/>
    <w:rsid w:val="00142A70"/>
    <w:rsid w:val="00152A97"/>
    <w:rsid w:val="001557FD"/>
    <w:rsid w:val="00171C5B"/>
    <w:rsid w:val="0017631C"/>
    <w:rsid w:val="001A2767"/>
    <w:rsid w:val="001A3D9A"/>
    <w:rsid w:val="001A5691"/>
    <w:rsid w:val="001B190B"/>
    <w:rsid w:val="001B6976"/>
    <w:rsid w:val="001B6BA8"/>
    <w:rsid w:val="001D0537"/>
    <w:rsid w:val="001E2B5E"/>
    <w:rsid w:val="00212474"/>
    <w:rsid w:val="00260280"/>
    <w:rsid w:val="00266582"/>
    <w:rsid w:val="00277E27"/>
    <w:rsid w:val="00280A9F"/>
    <w:rsid w:val="00295C74"/>
    <w:rsid w:val="002A7EB2"/>
    <w:rsid w:val="002B1CB3"/>
    <w:rsid w:val="002B512A"/>
    <w:rsid w:val="002E4E67"/>
    <w:rsid w:val="00307345"/>
    <w:rsid w:val="00326126"/>
    <w:rsid w:val="0035608A"/>
    <w:rsid w:val="00372D9F"/>
    <w:rsid w:val="00376B56"/>
    <w:rsid w:val="003A2466"/>
    <w:rsid w:val="003A4120"/>
    <w:rsid w:val="003C025A"/>
    <w:rsid w:val="003C3691"/>
    <w:rsid w:val="004048F5"/>
    <w:rsid w:val="00407818"/>
    <w:rsid w:val="00415DFF"/>
    <w:rsid w:val="004272C2"/>
    <w:rsid w:val="00433228"/>
    <w:rsid w:val="00460024"/>
    <w:rsid w:val="00475A74"/>
    <w:rsid w:val="004A51F2"/>
    <w:rsid w:val="004B05FF"/>
    <w:rsid w:val="004B526A"/>
    <w:rsid w:val="004C640A"/>
    <w:rsid w:val="004F3359"/>
    <w:rsid w:val="00532BD3"/>
    <w:rsid w:val="005664CF"/>
    <w:rsid w:val="005832D5"/>
    <w:rsid w:val="00594248"/>
    <w:rsid w:val="00597918"/>
    <w:rsid w:val="005A2409"/>
    <w:rsid w:val="005A2BC0"/>
    <w:rsid w:val="005B6846"/>
    <w:rsid w:val="005B780E"/>
    <w:rsid w:val="005C00E4"/>
    <w:rsid w:val="0060620F"/>
    <w:rsid w:val="00607797"/>
    <w:rsid w:val="00640304"/>
    <w:rsid w:val="00661F2A"/>
    <w:rsid w:val="006C0CF0"/>
    <w:rsid w:val="006F3FB5"/>
    <w:rsid w:val="007011A8"/>
    <w:rsid w:val="00730321"/>
    <w:rsid w:val="00735A3B"/>
    <w:rsid w:val="00765129"/>
    <w:rsid w:val="007A0A2E"/>
    <w:rsid w:val="007D04A1"/>
    <w:rsid w:val="007D1310"/>
    <w:rsid w:val="00806C3A"/>
    <w:rsid w:val="0083024B"/>
    <w:rsid w:val="00863967"/>
    <w:rsid w:val="00870956"/>
    <w:rsid w:val="00877140"/>
    <w:rsid w:val="00887316"/>
    <w:rsid w:val="00895E08"/>
    <w:rsid w:val="008A2A58"/>
    <w:rsid w:val="008F3DF5"/>
    <w:rsid w:val="00905E05"/>
    <w:rsid w:val="009156CF"/>
    <w:rsid w:val="0092731A"/>
    <w:rsid w:val="00965E96"/>
    <w:rsid w:val="009734A5"/>
    <w:rsid w:val="00986CF0"/>
    <w:rsid w:val="00991093"/>
    <w:rsid w:val="00992FEA"/>
    <w:rsid w:val="009C01C8"/>
    <w:rsid w:val="00A06CEF"/>
    <w:rsid w:val="00A302C8"/>
    <w:rsid w:val="00A35313"/>
    <w:rsid w:val="00A433F1"/>
    <w:rsid w:val="00A52051"/>
    <w:rsid w:val="00A7135B"/>
    <w:rsid w:val="00A7273A"/>
    <w:rsid w:val="00A76098"/>
    <w:rsid w:val="00A86214"/>
    <w:rsid w:val="00AA3B35"/>
    <w:rsid w:val="00AA7F00"/>
    <w:rsid w:val="00AB48A6"/>
    <w:rsid w:val="00AD2920"/>
    <w:rsid w:val="00B204E0"/>
    <w:rsid w:val="00B36FFB"/>
    <w:rsid w:val="00B37C88"/>
    <w:rsid w:val="00B46677"/>
    <w:rsid w:val="00B73173"/>
    <w:rsid w:val="00B85A2E"/>
    <w:rsid w:val="00B87BC5"/>
    <w:rsid w:val="00B90BA5"/>
    <w:rsid w:val="00BA0524"/>
    <w:rsid w:val="00BA0C4A"/>
    <w:rsid w:val="00BB64EE"/>
    <w:rsid w:val="00BF3A57"/>
    <w:rsid w:val="00BF6B28"/>
    <w:rsid w:val="00C4669C"/>
    <w:rsid w:val="00C86EB3"/>
    <w:rsid w:val="00C93052"/>
    <w:rsid w:val="00C97DF6"/>
    <w:rsid w:val="00CC7330"/>
    <w:rsid w:val="00D013F1"/>
    <w:rsid w:val="00D11261"/>
    <w:rsid w:val="00D41AA4"/>
    <w:rsid w:val="00D4593C"/>
    <w:rsid w:val="00D463B1"/>
    <w:rsid w:val="00D655DD"/>
    <w:rsid w:val="00D67EE6"/>
    <w:rsid w:val="00D7149D"/>
    <w:rsid w:val="00D7553D"/>
    <w:rsid w:val="00DA0D77"/>
    <w:rsid w:val="00DA57CB"/>
    <w:rsid w:val="00DE3647"/>
    <w:rsid w:val="00DE6680"/>
    <w:rsid w:val="00DF747A"/>
    <w:rsid w:val="00E064E7"/>
    <w:rsid w:val="00E06F8B"/>
    <w:rsid w:val="00E41DCE"/>
    <w:rsid w:val="00E436B0"/>
    <w:rsid w:val="00E657F1"/>
    <w:rsid w:val="00E72B0E"/>
    <w:rsid w:val="00E73499"/>
    <w:rsid w:val="00E83095"/>
    <w:rsid w:val="00EA4E14"/>
    <w:rsid w:val="00EA7BF9"/>
    <w:rsid w:val="00EB49C4"/>
    <w:rsid w:val="00EC37BD"/>
    <w:rsid w:val="00EC63F4"/>
    <w:rsid w:val="00EF20BB"/>
    <w:rsid w:val="00F0098A"/>
    <w:rsid w:val="00F05873"/>
    <w:rsid w:val="00F1037B"/>
    <w:rsid w:val="00F22001"/>
    <w:rsid w:val="00F26D3F"/>
    <w:rsid w:val="00F61B12"/>
    <w:rsid w:val="00F70EEF"/>
    <w:rsid w:val="00FC2BDC"/>
    <w:rsid w:val="00FF640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44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EI-Body Text"/>
    <w:qFormat/>
    <w:rsid w:val="004A51F2"/>
    <w:pPr>
      <w:spacing w:after="0"/>
      <w:jc w:val="both"/>
    </w:pPr>
    <w:rPr>
      <w:rFonts w:ascii="Times New Roman" w:eastAsia="Cambria" w:hAnsi="Times New Roman" w:cs="Times"/>
      <w:color w:val="000000"/>
      <w:sz w:val="22"/>
      <w:szCs w:val="22"/>
      <w:lang w:val="en-US"/>
    </w:rPr>
  </w:style>
  <w:style w:type="paragraph" w:styleId="Heading1">
    <w:name w:val="heading 1"/>
    <w:aliases w:val="SEI"/>
    <w:basedOn w:val="Normal"/>
    <w:next w:val="Normal"/>
    <w:link w:val="Heading1Char"/>
    <w:qFormat/>
    <w:rsid w:val="00433228"/>
    <w:pPr>
      <w:spacing w:before="400" w:after="200"/>
      <w:jc w:val="center"/>
      <w:outlineLvl w:val="0"/>
    </w:pPr>
    <w:rPr>
      <w:b/>
      <w:smallCaps/>
    </w:rPr>
  </w:style>
  <w:style w:type="paragraph" w:styleId="Heading2">
    <w:name w:val="heading 2"/>
    <w:aliases w:val="SEI-Heading 2"/>
    <w:basedOn w:val="Normal"/>
    <w:next w:val="Normal"/>
    <w:link w:val="Heading2Char"/>
    <w:uiPriority w:val="9"/>
    <w:unhideWhenUsed/>
    <w:qFormat/>
    <w:rsid w:val="00661F2A"/>
    <w:pPr>
      <w:spacing w:before="200" w:after="200"/>
      <w:outlineLvl w:val="1"/>
    </w:pPr>
    <w:rPr>
      <w:b/>
      <w:i/>
    </w:rPr>
  </w:style>
  <w:style w:type="paragraph" w:styleId="Heading3">
    <w:name w:val="heading 3"/>
    <w:aliases w:val="SEI-3"/>
    <w:basedOn w:val="Normal"/>
    <w:next w:val="Normal"/>
    <w:link w:val="Heading3Char"/>
    <w:qFormat/>
    <w:rsid w:val="00AA3B35"/>
    <w:pPr>
      <w:spacing w:before="200" w:after="20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I Char"/>
    <w:basedOn w:val="DefaultParagraphFont"/>
    <w:link w:val="Heading1"/>
    <w:rsid w:val="00433228"/>
    <w:rPr>
      <w:rFonts w:ascii="Times New Roman" w:eastAsia="Cambria" w:hAnsi="Times New Roman" w:cs="Times"/>
      <w:b/>
      <w:smallCaps/>
      <w:color w:val="000000"/>
      <w:sz w:val="22"/>
      <w:szCs w:val="22"/>
      <w:lang w:val="en-US"/>
    </w:rPr>
  </w:style>
  <w:style w:type="character" w:customStyle="1" w:styleId="Heading2Char">
    <w:name w:val="Heading 2 Char"/>
    <w:aliases w:val="SEI-Heading 2 Char"/>
    <w:basedOn w:val="DefaultParagraphFont"/>
    <w:link w:val="Heading2"/>
    <w:uiPriority w:val="9"/>
    <w:rsid w:val="00661F2A"/>
    <w:rPr>
      <w:rFonts w:ascii="Times New Roman" w:eastAsia="Cambria" w:hAnsi="Times New Roman" w:cs="Times"/>
      <w:b/>
      <w:i/>
      <w:color w:val="000000"/>
      <w:lang w:val="en-US"/>
    </w:rPr>
  </w:style>
  <w:style w:type="paragraph" w:styleId="NoSpacing">
    <w:name w:val="No Spacing"/>
    <w:uiPriority w:val="1"/>
    <w:qFormat/>
    <w:rsid w:val="000A450F"/>
    <w:pPr>
      <w:spacing w:after="0"/>
      <w:ind w:firstLine="720"/>
    </w:pPr>
    <w:rPr>
      <w:rFonts w:ascii="Times New Roman" w:hAnsi="Times New Roman"/>
    </w:rPr>
  </w:style>
  <w:style w:type="paragraph" w:styleId="BalloonText">
    <w:name w:val="Balloon Text"/>
    <w:basedOn w:val="Normal"/>
    <w:link w:val="BalloonTextChar"/>
    <w:uiPriority w:val="99"/>
    <w:semiHidden/>
    <w:unhideWhenUsed/>
    <w:rsid w:val="004600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024"/>
    <w:rPr>
      <w:rFonts w:ascii="Lucida Grande" w:hAnsi="Lucida Grande" w:cs="Lucida Grande"/>
      <w:sz w:val="18"/>
      <w:szCs w:val="18"/>
    </w:rPr>
  </w:style>
  <w:style w:type="paragraph" w:styleId="TOC1">
    <w:name w:val="toc 1"/>
    <w:basedOn w:val="Normal"/>
    <w:next w:val="Normal"/>
    <w:uiPriority w:val="39"/>
    <w:unhideWhenUsed/>
    <w:qFormat/>
    <w:rsid w:val="000D1020"/>
    <w:pPr>
      <w:suppressAutoHyphens/>
      <w:spacing w:before="120" w:line="480" w:lineRule="auto"/>
    </w:pPr>
    <w:rPr>
      <w:rFonts w:eastAsia="Times New Roman"/>
      <w:lang w:eastAsia="ar-SA"/>
    </w:rPr>
  </w:style>
  <w:style w:type="paragraph" w:customStyle="1" w:styleId="SEI-ABSTRACTKEYWORDS">
    <w:name w:val="SEI-ABSTRACT&amp;KEY WORDS"/>
    <w:basedOn w:val="Normal"/>
    <w:qFormat/>
    <w:rsid w:val="00433228"/>
    <w:pPr>
      <w:spacing w:before="200" w:after="200"/>
    </w:pPr>
    <w:rPr>
      <w:sz w:val="20"/>
      <w:szCs w:val="20"/>
    </w:rPr>
  </w:style>
  <w:style w:type="paragraph" w:customStyle="1" w:styleId="SEI-TITLE">
    <w:name w:val="SEI-TITLE"/>
    <w:basedOn w:val="Normal"/>
    <w:qFormat/>
    <w:rsid w:val="00DF747A"/>
    <w:pPr>
      <w:jc w:val="center"/>
    </w:pPr>
    <w:rPr>
      <w:rFonts w:eastAsia="Times New Roman"/>
      <w:b/>
      <w:sz w:val="24"/>
      <w:szCs w:val="24"/>
      <w:lang w:eastAsia="sl-SI"/>
    </w:rPr>
  </w:style>
  <w:style w:type="character" w:customStyle="1" w:styleId="Heading3Char">
    <w:name w:val="Heading 3 Char"/>
    <w:aliases w:val="SEI-3 Char"/>
    <w:basedOn w:val="DefaultParagraphFont"/>
    <w:link w:val="Heading3"/>
    <w:rsid w:val="00AA3B35"/>
    <w:rPr>
      <w:rFonts w:ascii="Times New Roman" w:eastAsia="Cambria" w:hAnsi="Times New Roman" w:cs="Times"/>
      <w:i/>
      <w:color w:val="000000"/>
      <w:lang w:val="en-US"/>
    </w:rPr>
  </w:style>
  <w:style w:type="paragraph" w:customStyle="1" w:styleId="SEI-TABLE-TEXT">
    <w:name w:val="SEI-TABLE-TEXT"/>
    <w:basedOn w:val="Normal"/>
    <w:qFormat/>
    <w:rsid w:val="006C0CF0"/>
    <w:rPr>
      <w:rFonts w:eastAsia="Times New Roman"/>
      <w:sz w:val="20"/>
      <w:szCs w:val="20"/>
      <w:lang w:eastAsia="sl-SI"/>
    </w:rPr>
  </w:style>
  <w:style w:type="paragraph" w:styleId="ListParagraph">
    <w:name w:val="List Paragraph"/>
    <w:basedOn w:val="Normal"/>
    <w:uiPriority w:val="72"/>
    <w:rsid w:val="00FF6400"/>
    <w:pPr>
      <w:ind w:left="720"/>
      <w:contextualSpacing/>
    </w:pPr>
    <w:rPr>
      <w:rFonts w:eastAsia="PMingLiU"/>
    </w:rPr>
  </w:style>
  <w:style w:type="paragraph" w:styleId="Header">
    <w:name w:val="header"/>
    <w:aliases w:val="SEI-Header"/>
    <w:basedOn w:val="Normal"/>
    <w:link w:val="HeaderChar"/>
    <w:uiPriority w:val="99"/>
    <w:unhideWhenUsed/>
    <w:qFormat/>
    <w:rsid w:val="00E73499"/>
    <w:pPr>
      <w:tabs>
        <w:tab w:val="center" w:pos="4320"/>
        <w:tab w:val="right" w:pos="8640"/>
      </w:tabs>
      <w:jc w:val="center"/>
    </w:pPr>
    <w:rPr>
      <w:i/>
    </w:rPr>
  </w:style>
  <w:style w:type="character" w:customStyle="1" w:styleId="HeaderChar">
    <w:name w:val="Header Char"/>
    <w:aliases w:val="SEI-Header Char"/>
    <w:basedOn w:val="DefaultParagraphFont"/>
    <w:link w:val="Header"/>
    <w:uiPriority w:val="99"/>
    <w:rsid w:val="00E73499"/>
    <w:rPr>
      <w:rFonts w:ascii="Times New Roman" w:eastAsia="Cambria" w:hAnsi="Times New Roman" w:cs="Times"/>
      <w:i/>
      <w:color w:val="000000"/>
      <w:lang w:val="en-US"/>
    </w:rPr>
  </w:style>
  <w:style w:type="paragraph" w:styleId="Footer">
    <w:name w:val="footer"/>
    <w:aliases w:val="SEI-Footer"/>
    <w:basedOn w:val="Normal"/>
    <w:link w:val="FooterChar"/>
    <w:uiPriority w:val="99"/>
    <w:unhideWhenUsed/>
    <w:qFormat/>
    <w:rsid w:val="001A2767"/>
    <w:pPr>
      <w:jc w:val="left"/>
    </w:pPr>
    <w:rPr>
      <w:sz w:val="18"/>
      <w:szCs w:val="18"/>
    </w:rPr>
  </w:style>
  <w:style w:type="character" w:customStyle="1" w:styleId="FooterChar">
    <w:name w:val="Footer Char"/>
    <w:aliases w:val="SEI-Footer Char"/>
    <w:basedOn w:val="DefaultParagraphFont"/>
    <w:link w:val="Footer"/>
    <w:uiPriority w:val="99"/>
    <w:rsid w:val="001A2767"/>
    <w:rPr>
      <w:rFonts w:ascii="Times New Roman" w:eastAsia="Cambria" w:hAnsi="Times New Roman" w:cs="Times"/>
      <w:color w:val="000000"/>
      <w:sz w:val="18"/>
      <w:szCs w:val="18"/>
      <w:lang w:val="en-US"/>
    </w:rPr>
  </w:style>
  <w:style w:type="character" w:styleId="PageNumber">
    <w:name w:val="page number"/>
    <w:basedOn w:val="DefaultParagraphFont"/>
    <w:uiPriority w:val="99"/>
    <w:unhideWhenUsed/>
    <w:qFormat/>
    <w:rsid w:val="001A2767"/>
    <w:rPr>
      <w:rFonts w:ascii="Times New Roman" w:hAnsi="Times New Roman"/>
      <w:sz w:val="20"/>
      <w:szCs w:val="20"/>
    </w:rPr>
  </w:style>
  <w:style w:type="paragraph" w:styleId="BodyText">
    <w:name w:val="Body Text"/>
    <w:basedOn w:val="Normal"/>
    <w:link w:val="BodyTextChar"/>
    <w:uiPriority w:val="99"/>
    <w:semiHidden/>
    <w:unhideWhenUsed/>
    <w:rsid w:val="00B36FFB"/>
    <w:pPr>
      <w:spacing w:after="120"/>
    </w:pPr>
  </w:style>
  <w:style w:type="character" w:customStyle="1" w:styleId="BodyTextChar">
    <w:name w:val="Body Text Char"/>
    <w:basedOn w:val="DefaultParagraphFont"/>
    <w:link w:val="BodyText"/>
    <w:uiPriority w:val="99"/>
    <w:semiHidden/>
    <w:rsid w:val="00B36FFB"/>
    <w:rPr>
      <w:rFonts w:ascii="Times New Roman" w:eastAsia="Cambria" w:hAnsi="Times New Roman" w:cs="Times"/>
      <w:color w:val="000000"/>
      <w:lang w:val="en-US"/>
    </w:rPr>
  </w:style>
  <w:style w:type="paragraph" w:styleId="BodyTextFirstIndent">
    <w:name w:val="Body Text First Indent"/>
    <w:aliases w:val="Body Text 1st-line Indented"/>
    <w:basedOn w:val="BodyText"/>
    <w:link w:val="BodyTextFirstIndentChar"/>
    <w:uiPriority w:val="99"/>
    <w:unhideWhenUsed/>
    <w:qFormat/>
    <w:rsid w:val="00B36FFB"/>
    <w:pPr>
      <w:spacing w:after="0"/>
      <w:ind w:firstLine="360"/>
    </w:pPr>
  </w:style>
  <w:style w:type="character" w:customStyle="1" w:styleId="BodyTextFirstIndentChar">
    <w:name w:val="Body Text First Indent Char"/>
    <w:aliases w:val="Body Text 1st-line Indented Char"/>
    <w:basedOn w:val="BodyTextChar"/>
    <w:link w:val="BodyTextFirstIndent"/>
    <w:uiPriority w:val="99"/>
    <w:rsid w:val="00B36FFB"/>
    <w:rPr>
      <w:rFonts w:ascii="Times New Roman" w:eastAsia="Cambria" w:hAnsi="Times New Roman" w:cs="Times"/>
      <w:color w:val="000000"/>
      <w:lang w:val="en-US"/>
    </w:rPr>
  </w:style>
  <w:style w:type="paragraph" w:styleId="FootnoteText">
    <w:name w:val="footnote text"/>
    <w:basedOn w:val="Normal"/>
    <w:link w:val="FootnoteTextChar"/>
    <w:uiPriority w:val="99"/>
    <w:unhideWhenUsed/>
    <w:rsid w:val="00277E27"/>
    <w:rPr>
      <w:sz w:val="20"/>
      <w:szCs w:val="20"/>
    </w:rPr>
  </w:style>
  <w:style w:type="character" w:customStyle="1" w:styleId="FootnoteTextChar">
    <w:name w:val="Footnote Text Char"/>
    <w:basedOn w:val="DefaultParagraphFont"/>
    <w:link w:val="FootnoteText"/>
    <w:uiPriority w:val="99"/>
    <w:rsid w:val="00277E27"/>
    <w:rPr>
      <w:rFonts w:ascii="Times New Roman" w:eastAsia="Cambria" w:hAnsi="Times New Roman" w:cs="Times"/>
      <w:color w:val="000000"/>
      <w:sz w:val="20"/>
      <w:szCs w:val="20"/>
      <w:lang w:val="en-US"/>
    </w:rPr>
  </w:style>
  <w:style w:type="character" w:styleId="FootnoteReference">
    <w:name w:val="footnote reference"/>
    <w:aliases w:val="SEI-Footnote Reference"/>
    <w:basedOn w:val="DefaultParagraphFont"/>
    <w:uiPriority w:val="99"/>
    <w:unhideWhenUsed/>
    <w:qFormat/>
    <w:rsid w:val="00415DFF"/>
    <w:rPr>
      <w:vertAlign w:val="superscript"/>
    </w:rPr>
  </w:style>
  <w:style w:type="paragraph" w:customStyle="1" w:styleId="SEI-ReferenceList">
    <w:name w:val="SEI-Reference List"/>
    <w:basedOn w:val="Normal"/>
    <w:qFormat/>
    <w:rsid w:val="00905E05"/>
    <w:pPr>
      <w:ind w:left="425" w:hanging="425"/>
    </w:pPr>
  </w:style>
  <w:style w:type="character" w:styleId="Hyperlink">
    <w:name w:val="Hyperlink"/>
    <w:basedOn w:val="DefaultParagraphFont"/>
    <w:uiPriority w:val="99"/>
    <w:unhideWhenUsed/>
    <w:rsid w:val="00E064E7"/>
    <w:rPr>
      <w:color w:val="0000FF" w:themeColor="hyperlink"/>
      <w:u w:val="single"/>
    </w:rPr>
  </w:style>
  <w:style w:type="paragraph" w:customStyle="1" w:styleId="SEI-TableFigureheading">
    <w:name w:val="SEI-Table/Figure heading"/>
    <w:basedOn w:val="Normal"/>
    <w:qFormat/>
    <w:rsid w:val="001D0537"/>
    <w:pPr>
      <w:tabs>
        <w:tab w:val="left" w:pos="993"/>
      </w:tabs>
      <w:spacing w:before="200" w:after="100"/>
      <w:ind w:left="992" w:hanging="992"/>
      <w:jc w:val="left"/>
    </w:pPr>
    <w:rPr>
      <w:b/>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footnote reference"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EI-Body Text"/>
    <w:qFormat/>
    <w:rsid w:val="004A51F2"/>
    <w:pPr>
      <w:spacing w:after="0"/>
      <w:jc w:val="both"/>
    </w:pPr>
    <w:rPr>
      <w:rFonts w:ascii="Times New Roman" w:eastAsia="Cambria" w:hAnsi="Times New Roman" w:cs="Times"/>
      <w:color w:val="000000"/>
      <w:sz w:val="22"/>
      <w:szCs w:val="22"/>
      <w:lang w:val="en-US"/>
    </w:rPr>
  </w:style>
  <w:style w:type="paragraph" w:styleId="Heading1">
    <w:name w:val="heading 1"/>
    <w:aliases w:val="SEI"/>
    <w:basedOn w:val="Normal"/>
    <w:next w:val="Normal"/>
    <w:link w:val="Heading1Char"/>
    <w:qFormat/>
    <w:rsid w:val="00433228"/>
    <w:pPr>
      <w:spacing w:before="400" w:after="200"/>
      <w:jc w:val="center"/>
      <w:outlineLvl w:val="0"/>
    </w:pPr>
    <w:rPr>
      <w:b/>
      <w:smallCaps/>
    </w:rPr>
  </w:style>
  <w:style w:type="paragraph" w:styleId="Heading2">
    <w:name w:val="heading 2"/>
    <w:aliases w:val="SEI-Heading 2"/>
    <w:basedOn w:val="Normal"/>
    <w:next w:val="Normal"/>
    <w:link w:val="Heading2Char"/>
    <w:uiPriority w:val="9"/>
    <w:unhideWhenUsed/>
    <w:qFormat/>
    <w:rsid w:val="00661F2A"/>
    <w:pPr>
      <w:spacing w:before="200" w:after="200"/>
      <w:outlineLvl w:val="1"/>
    </w:pPr>
    <w:rPr>
      <w:b/>
      <w:i/>
    </w:rPr>
  </w:style>
  <w:style w:type="paragraph" w:styleId="Heading3">
    <w:name w:val="heading 3"/>
    <w:aliases w:val="SEI-3"/>
    <w:basedOn w:val="Normal"/>
    <w:next w:val="Normal"/>
    <w:link w:val="Heading3Char"/>
    <w:qFormat/>
    <w:rsid w:val="00AA3B35"/>
    <w:pPr>
      <w:spacing w:before="200" w:after="20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I Char"/>
    <w:basedOn w:val="DefaultParagraphFont"/>
    <w:link w:val="Heading1"/>
    <w:rsid w:val="00433228"/>
    <w:rPr>
      <w:rFonts w:ascii="Times New Roman" w:eastAsia="Cambria" w:hAnsi="Times New Roman" w:cs="Times"/>
      <w:b/>
      <w:smallCaps/>
      <w:color w:val="000000"/>
      <w:sz w:val="22"/>
      <w:szCs w:val="22"/>
      <w:lang w:val="en-US"/>
    </w:rPr>
  </w:style>
  <w:style w:type="character" w:customStyle="1" w:styleId="Heading2Char">
    <w:name w:val="Heading 2 Char"/>
    <w:aliases w:val="SEI-Heading 2 Char"/>
    <w:basedOn w:val="DefaultParagraphFont"/>
    <w:link w:val="Heading2"/>
    <w:uiPriority w:val="9"/>
    <w:rsid w:val="00661F2A"/>
    <w:rPr>
      <w:rFonts w:ascii="Times New Roman" w:eastAsia="Cambria" w:hAnsi="Times New Roman" w:cs="Times"/>
      <w:b/>
      <w:i/>
      <w:color w:val="000000"/>
      <w:lang w:val="en-US"/>
    </w:rPr>
  </w:style>
  <w:style w:type="paragraph" w:styleId="NoSpacing">
    <w:name w:val="No Spacing"/>
    <w:uiPriority w:val="1"/>
    <w:qFormat/>
    <w:rsid w:val="000A450F"/>
    <w:pPr>
      <w:spacing w:after="0"/>
      <w:ind w:firstLine="720"/>
    </w:pPr>
    <w:rPr>
      <w:rFonts w:ascii="Times New Roman" w:hAnsi="Times New Roman"/>
    </w:rPr>
  </w:style>
  <w:style w:type="paragraph" w:styleId="BalloonText">
    <w:name w:val="Balloon Text"/>
    <w:basedOn w:val="Normal"/>
    <w:link w:val="BalloonTextChar"/>
    <w:uiPriority w:val="99"/>
    <w:semiHidden/>
    <w:unhideWhenUsed/>
    <w:rsid w:val="004600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024"/>
    <w:rPr>
      <w:rFonts w:ascii="Lucida Grande" w:hAnsi="Lucida Grande" w:cs="Lucida Grande"/>
      <w:sz w:val="18"/>
      <w:szCs w:val="18"/>
    </w:rPr>
  </w:style>
  <w:style w:type="paragraph" w:styleId="TOC1">
    <w:name w:val="toc 1"/>
    <w:basedOn w:val="Normal"/>
    <w:next w:val="Normal"/>
    <w:uiPriority w:val="39"/>
    <w:unhideWhenUsed/>
    <w:qFormat/>
    <w:rsid w:val="000D1020"/>
    <w:pPr>
      <w:suppressAutoHyphens/>
      <w:spacing w:before="120" w:line="480" w:lineRule="auto"/>
    </w:pPr>
    <w:rPr>
      <w:rFonts w:eastAsia="Times New Roman"/>
      <w:lang w:eastAsia="ar-SA"/>
    </w:rPr>
  </w:style>
  <w:style w:type="paragraph" w:customStyle="1" w:styleId="SEI-ABSTRACTKEYWORDS">
    <w:name w:val="SEI-ABSTRACT&amp;KEY WORDS"/>
    <w:basedOn w:val="Normal"/>
    <w:qFormat/>
    <w:rsid w:val="00433228"/>
    <w:pPr>
      <w:spacing w:before="200" w:after="200"/>
    </w:pPr>
    <w:rPr>
      <w:sz w:val="20"/>
      <w:szCs w:val="20"/>
    </w:rPr>
  </w:style>
  <w:style w:type="paragraph" w:customStyle="1" w:styleId="SEI-TITLE">
    <w:name w:val="SEI-TITLE"/>
    <w:basedOn w:val="Normal"/>
    <w:qFormat/>
    <w:rsid w:val="00DF747A"/>
    <w:pPr>
      <w:jc w:val="center"/>
    </w:pPr>
    <w:rPr>
      <w:rFonts w:eastAsia="Times New Roman"/>
      <w:b/>
      <w:sz w:val="24"/>
      <w:szCs w:val="24"/>
      <w:lang w:eastAsia="sl-SI"/>
    </w:rPr>
  </w:style>
  <w:style w:type="character" w:customStyle="1" w:styleId="Heading3Char">
    <w:name w:val="Heading 3 Char"/>
    <w:aliases w:val="SEI-3 Char"/>
    <w:basedOn w:val="DefaultParagraphFont"/>
    <w:link w:val="Heading3"/>
    <w:rsid w:val="00AA3B35"/>
    <w:rPr>
      <w:rFonts w:ascii="Times New Roman" w:eastAsia="Cambria" w:hAnsi="Times New Roman" w:cs="Times"/>
      <w:i/>
      <w:color w:val="000000"/>
      <w:lang w:val="en-US"/>
    </w:rPr>
  </w:style>
  <w:style w:type="paragraph" w:customStyle="1" w:styleId="SEI-TABLE-TEXT">
    <w:name w:val="SEI-TABLE-TEXT"/>
    <w:basedOn w:val="Normal"/>
    <w:qFormat/>
    <w:rsid w:val="006C0CF0"/>
    <w:rPr>
      <w:rFonts w:eastAsia="Times New Roman"/>
      <w:sz w:val="20"/>
      <w:szCs w:val="20"/>
      <w:lang w:eastAsia="sl-SI"/>
    </w:rPr>
  </w:style>
  <w:style w:type="paragraph" w:styleId="ListParagraph">
    <w:name w:val="List Paragraph"/>
    <w:basedOn w:val="Normal"/>
    <w:uiPriority w:val="72"/>
    <w:rsid w:val="00FF6400"/>
    <w:pPr>
      <w:ind w:left="720"/>
      <w:contextualSpacing/>
    </w:pPr>
    <w:rPr>
      <w:rFonts w:eastAsia="PMingLiU"/>
    </w:rPr>
  </w:style>
  <w:style w:type="paragraph" w:styleId="Header">
    <w:name w:val="header"/>
    <w:aliases w:val="SEI-Header"/>
    <w:basedOn w:val="Normal"/>
    <w:link w:val="HeaderChar"/>
    <w:uiPriority w:val="99"/>
    <w:unhideWhenUsed/>
    <w:qFormat/>
    <w:rsid w:val="00E73499"/>
    <w:pPr>
      <w:tabs>
        <w:tab w:val="center" w:pos="4320"/>
        <w:tab w:val="right" w:pos="8640"/>
      </w:tabs>
      <w:jc w:val="center"/>
    </w:pPr>
    <w:rPr>
      <w:i/>
    </w:rPr>
  </w:style>
  <w:style w:type="character" w:customStyle="1" w:styleId="HeaderChar">
    <w:name w:val="Header Char"/>
    <w:aliases w:val="SEI-Header Char"/>
    <w:basedOn w:val="DefaultParagraphFont"/>
    <w:link w:val="Header"/>
    <w:uiPriority w:val="99"/>
    <w:rsid w:val="00E73499"/>
    <w:rPr>
      <w:rFonts w:ascii="Times New Roman" w:eastAsia="Cambria" w:hAnsi="Times New Roman" w:cs="Times"/>
      <w:i/>
      <w:color w:val="000000"/>
      <w:lang w:val="en-US"/>
    </w:rPr>
  </w:style>
  <w:style w:type="paragraph" w:styleId="Footer">
    <w:name w:val="footer"/>
    <w:aliases w:val="SEI-Footer"/>
    <w:basedOn w:val="Normal"/>
    <w:link w:val="FooterChar"/>
    <w:uiPriority w:val="99"/>
    <w:unhideWhenUsed/>
    <w:qFormat/>
    <w:rsid w:val="001A2767"/>
    <w:pPr>
      <w:jc w:val="left"/>
    </w:pPr>
    <w:rPr>
      <w:sz w:val="18"/>
      <w:szCs w:val="18"/>
    </w:rPr>
  </w:style>
  <w:style w:type="character" w:customStyle="1" w:styleId="FooterChar">
    <w:name w:val="Footer Char"/>
    <w:aliases w:val="SEI-Footer Char"/>
    <w:basedOn w:val="DefaultParagraphFont"/>
    <w:link w:val="Footer"/>
    <w:uiPriority w:val="99"/>
    <w:rsid w:val="001A2767"/>
    <w:rPr>
      <w:rFonts w:ascii="Times New Roman" w:eastAsia="Cambria" w:hAnsi="Times New Roman" w:cs="Times"/>
      <w:color w:val="000000"/>
      <w:sz w:val="18"/>
      <w:szCs w:val="18"/>
      <w:lang w:val="en-US"/>
    </w:rPr>
  </w:style>
  <w:style w:type="character" w:styleId="PageNumber">
    <w:name w:val="page number"/>
    <w:basedOn w:val="DefaultParagraphFont"/>
    <w:uiPriority w:val="99"/>
    <w:unhideWhenUsed/>
    <w:qFormat/>
    <w:rsid w:val="001A2767"/>
    <w:rPr>
      <w:rFonts w:ascii="Times New Roman" w:hAnsi="Times New Roman"/>
      <w:sz w:val="20"/>
      <w:szCs w:val="20"/>
    </w:rPr>
  </w:style>
  <w:style w:type="paragraph" w:styleId="BodyText">
    <w:name w:val="Body Text"/>
    <w:basedOn w:val="Normal"/>
    <w:link w:val="BodyTextChar"/>
    <w:uiPriority w:val="99"/>
    <w:semiHidden/>
    <w:unhideWhenUsed/>
    <w:rsid w:val="00B36FFB"/>
    <w:pPr>
      <w:spacing w:after="120"/>
    </w:pPr>
  </w:style>
  <w:style w:type="character" w:customStyle="1" w:styleId="BodyTextChar">
    <w:name w:val="Body Text Char"/>
    <w:basedOn w:val="DefaultParagraphFont"/>
    <w:link w:val="BodyText"/>
    <w:uiPriority w:val="99"/>
    <w:semiHidden/>
    <w:rsid w:val="00B36FFB"/>
    <w:rPr>
      <w:rFonts w:ascii="Times New Roman" w:eastAsia="Cambria" w:hAnsi="Times New Roman" w:cs="Times"/>
      <w:color w:val="000000"/>
      <w:lang w:val="en-US"/>
    </w:rPr>
  </w:style>
  <w:style w:type="paragraph" w:styleId="BodyTextFirstIndent">
    <w:name w:val="Body Text First Indent"/>
    <w:aliases w:val="Body Text 1st-line Indented"/>
    <w:basedOn w:val="BodyText"/>
    <w:link w:val="BodyTextFirstIndentChar"/>
    <w:uiPriority w:val="99"/>
    <w:unhideWhenUsed/>
    <w:qFormat/>
    <w:rsid w:val="00B36FFB"/>
    <w:pPr>
      <w:spacing w:after="0"/>
      <w:ind w:firstLine="360"/>
    </w:pPr>
  </w:style>
  <w:style w:type="character" w:customStyle="1" w:styleId="BodyTextFirstIndentChar">
    <w:name w:val="Body Text First Indent Char"/>
    <w:aliases w:val="Body Text 1st-line Indented Char"/>
    <w:basedOn w:val="BodyTextChar"/>
    <w:link w:val="BodyTextFirstIndent"/>
    <w:uiPriority w:val="99"/>
    <w:rsid w:val="00B36FFB"/>
    <w:rPr>
      <w:rFonts w:ascii="Times New Roman" w:eastAsia="Cambria" w:hAnsi="Times New Roman" w:cs="Times"/>
      <w:color w:val="000000"/>
      <w:lang w:val="en-US"/>
    </w:rPr>
  </w:style>
  <w:style w:type="paragraph" w:styleId="FootnoteText">
    <w:name w:val="footnote text"/>
    <w:basedOn w:val="Normal"/>
    <w:link w:val="FootnoteTextChar"/>
    <w:uiPriority w:val="99"/>
    <w:unhideWhenUsed/>
    <w:rsid w:val="00277E27"/>
    <w:rPr>
      <w:sz w:val="20"/>
      <w:szCs w:val="20"/>
    </w:rPr>
  </w:style>
  <w:style w:type="character" w:customStyle="1" w:styleId="FootnoteTextChar">
    <w:name w:val="Footnote Text Char"/>
    <w:basedOn w:val="DefaultParagraphFont"/>
    <w:link w:val="FootnoteText"/>
    <w:uiPriority w:val="99"/>
    <w:rsid w:val="00277E27"/>
    <w:rPr>
      <w:rFonts w:ascii="Times New Roman" w:eastAsia="Cambria" w:hAnsi="Times New Roman" w:cs="Times"/>
      <w:color w:val="000000"/>
      <w:sz w:val="20"/>
      <w:szCs w:val="20"/>
      <w:lang w:val="en-US"/>
    </w:rPr>
  </w:style>
  <w:style w:type="character" w:styleId="FootnoteReference">
    <w:name w:val="footnote reference"/>
    <w:aliases w:val="SEI-Footnote Reference"/>
    <w:basedOn w:val="DefaultParagraphFont"/>
    <w:uiPriority w:val="99"/>
    <w:unhideWhenUsed/>
    <w:qFormat/>
    <w:rsid w:val="00415DFF"/>
    <w:rPr>
      <w:vertAlign w:val="superscript"/>
    </w:rPr>
  </w:style>
  <w:style w:type="paragraph" w:customStyle="1" w:styleId="SEI-ReferenceList">
    <w:name w:val="SEI-Reference List"/>
    <w:basedOn w:val="Normal"/>
    <w:qFormat/>
    <w:rsid w:val="00905E05"/>
    <w:pPr>
      <w:ind w:left="425" w:hanging="425"/>
    </w:pPr>
  </w:style>
  <w:style w:type="character" w:styleId="Hyperlink">
    <w:name w:val="Hyperlink"/>
    <w:basedOn w:val="DefaultParagraphFont"/>
    <w:uiPriority w:val="99"/>
    <w:unhideWhenUsed/>
    <w:rsid w:val="00E064E7"/>
    <w:rPr>
      <w:color w:val="0000FF" w:themeColor="hyperlink"/>
      <w:u w:val="single"/>
    </w:rPr>
  </w:style>
  <w:style w:type="paragraph" w:customStyle="1" w:styleId="SEI-TableFigureheading">
    <w:name w:val="SEI-Table/Figure heading"/>
    <w:basedOn w:val="Normal"/>
    <w:qFormat/>
    <w:rsid w:val="001D0537"/>
    <w:pPr>
      <w:tabs>
        <w:tab w:val="left" w:pos="993"/>
      </w:tabs>
      <w:spacing w:before="200" w:after="100"/>
      <w:ind w:left="992" w:hanging="992"/>
      <w:jc w:val="lef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7B08A-147C-D74E-9104-CBE829AF6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5429</Words>
  <Characters>32037</Characters>
  <Application>Microsoft Macintosh Word</Application>
  <DocSecurity>0</DocSecurity>
  <Lines>653</Lines>
  <Paragraphs>118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Introduction</vt:lpstr>
      <vt:lpstr>Method</vt:lpstr>
      <vt:lpstr>    Participants</vt:lpstr>
      <vt:lpstr>Instrument</vt:lpstr>
      <vt:lpstr>    Beliefs about teaching scales</vt:lpstr>
      <vt:lpstr>    Beliefs about learning scales</vt:lpstr>
      <vt:lpstr>    Cultural beliefs scale</vt:lpstr>
      <vt:lpstr>Results</vt:lpstr>
      <vt:lpstr>Discussion</vt:lpstr>
      <vt:lpstr>Acknowledgements</vt:lpstr>
      <vt:lpstr>References</vt:lpstr>
    </vt:vector>
  </TitlesOfParts>
  <Company/>
  <LinksUpToDate>false</LinksUpToDate>
  <CharactersWithSpaces>37348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Minkee Kim</dc:creator>
  <cp:keywords/>
  <dc:description/>
  <cp:lastModifiedBy>Minkee Kim</cp:lastModifiedBy>
  <cp:revision>7</cp:revision>
  <cp:lastPrinted>2013-05-15T21:11:00Z</cp:lastPrinted>
  <dcterms:created xsi:type="dcterms:W3CDTF">2013-05-14T13:43:00Z</dcterms:created>
  <dcterms:modified xsi:type="dcterms:W3CDTF">2013-05-15T21:11:00Z</dcterms:modified>
</cp:coreProperties>
</file>